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75E91" w14:textId="085944C0" w:rsidR="009F2E80" w:rsidRDefault="00A22821">
      <w:r>
        <w:rPr>
          <w:noProof/>
          <w:lang w:eastAsia="pl-PL"/>
        </w:rPr>
        <w:drawing>
          <wp:anchor distT="0" distB="0" distL="114300" distR="114300" simplePos="0" relativeHeight="251658240" behindDoc="0" locked="0" layoutInCell="1" allowOverlap="1" wp14:anchorId="1F05FC71" wp14:editId="71C7D74F">
            <wp:simplePos x="0" y="0"/>
            <wp:positionH relativeFrom="column">
              <wp:posOffset>-921943</wp:posOffset>
            </wp:positionH>
            <wp:positionV relativeFrom="paragraph">
              <wp:posOffset>-899795</wp:posOffset>
            </wp:positionV>
            <wp:extent cx="7560000" cy="10693333"/>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kładk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3333"/>
                    </a:xfrm>
                    <a:prstGeom prst="rect">
                      <a:avLst/>
                    </a:prstGeom>
                  </pic:spPr>
                </pic:pic>
              </a:graphicData>
            </a:graphic>
            <wp14:sizeRelH relativeFrom="margin">
              <wp14:pctWidth>0</wp14:pctWidth>
            </wp14:sizeRelH>
            <wp14:sizeRelV relativeFrom="margin">
              <wp14:pctHeight>0</wp14:pctHeight>
            </wp14:sizeRelV>
          </wp:anchor>
        </w:drawing>
      </w:r>
      <w:r w:rsidR="009F2E80">
        <w:br w:type="page"/>
      </w:r>
    </w:p>
    <w:p w14:paraId="6CD3F02D" w14:textId="77777777" w:rsidR="00A22821" w:rsidRDefault="00A22821"/>
    <w:p w14:paraId="19B1DCDF" w14:textId="77777777" w:rsidR="00A22821" w:rsidRDefault="00A22821"/>
    <w:p w14:paraId="5773077D" w14:textId="77777777" w:rsidR="00A22821" w:rsidRDefault="00A22821"/>
    <w:p w14:paraId="72F33441" w14:textId="77777777" w:rsidR="00A22821" w:rsidRDefault="00A22821"/>
    <w:p w14:paraId="77288664" w14:textId="77777777" w:rsidR="00A22821" w:rsidRDefault="00A22821"/>
    <w:p w14:paraId="68B89001" w14:textId="77777777" w:rsidR="00A22821" w:rsidRDefault="00A22821"/>
    <w:p w14:paraId="0B7962F0" w14:textId="77777777" w:rsidR="00A22821" w:rsidRDefault="00A22821"/>
    <w:p w14:paraId="4AD54C3B" w14:textId="77777777" w:rsidR="00A22821" w:rsidRDefault="00A22821"/>
    <w:p w14:paraId="73DA525D" w14:textId="77777777" w:rsidR="00A22821" w:rsidRDefault="00A22821"/>
    <w:p w14:paraId="1996BF4F" w14:textId="77777777" w:rsidR="00A22821" w:rsidRDefault="00A22821"/>
    <w:p w14:paraId="4736078D" w14:textId="77777777" w:rsidR="00A22821" w:rsidRDefault="00A22821"/>
    <w:p w14:paraId="7ECC7B7E" w14:textId="77777777" w:rsidR="00A22821" w:rsidRDefault="00A22821"/>
    <w:p w14:paraId="05AA97B9" w14:textId="77777777" w:rsidR="00A22821" w:rsidRDefault="00A22821"/>
    <w:p w14:paraId="7C8B4CED" w14:textId="77777777" w:rsidR="00A22821" w:rsidRDefault="00A22821"/>
    <w:p w14:paraId="07130D32" w14:textId="77777777" w:rsidR="00A22821" w:rsidRDefault="00A22821"/>
    <w:p w14:paraId="00EDFCA0" w14:textId="77777777" w:rsidR="00A22821" w:rsidRDefault="00A22821"/>
    <w:p w14:paraId="45014836" w14:textId="77777777" w:rsidR="00A22821" w:rsidRDefault="00A22821"/>
    <w:p w14:paraId="5D3C2166" w14:textId="77777777" w:rsidR="00A22821" w:rsidRDefault="00A22821"/>
    <w:p w14:paraId="66DA2CEE" w14:textId="77777777" w:rsidR="00A22821" w:rsidRDefault="00A22821"/>
    <w:p w14:paraId="5AFA8F5C" w14:textId="77777777" w:rsidR="00A22821" w:rsidRDefault="00A22821"/>
    <w:p w14:paraId="595AA1A6" w14:textId="77777777" w:rsidR="00A22821" w:rsidRDefault="00A22821"/>
    <w:p w14:paraId="04F8465C" w14:textId="77777777" w:rsidR="00A22821" w:rsidRDefault="00A22821"/>
    <w:p w14:paraId="39F3C3F5" w14:textId="07106B23" w:rsidR="009F2E80" w:rsidRDefault="009F2E80">
      <w:r>
        <w:t>Opracowanie:</w:t>
      </w:r>
    </w:p>
    <w:p w14:paraId="57B15B67" w14:textId="1BEAD949" w:rsidR="009F2E80" w:rsidRDefault="00A22821">
      <w:r w:rsidRPr="000341EA">
        <w:rPr>
          <w:rFonts w:cstheme="minorHAnsi"/>
          <w:noProof/>
          <w:color w:val="404040" w:themeColor="text1" w:themeTint="BF"/>
          <w:lang w:eastAsia="pl-PL"/>
        </w:rPr>
        <w:drawing>
          <wp:anchor distT="0" distB="0" distL="114300" distR="114300" simplePos="0" relativeHeight="251660288" behindDoc="0" locked="0" layoutInCell="1" allowOverlap="1" wp14:anchorId="08E33C45" wp14:editId="61A757FD">
            <wp:simplePos x="0" y="0"/>
            <wp:positionH relativeFrom="margin">
              <wp:posOffset>-314325</wp:posOffset>
            </wp:positionH>
            <wp:positionV relativeFrom="paragraph">
              <wp:posOffset>218440</wp:posOffset>
            </wp:positionV>
            <wp:extent cx="3438525" cy="866775"/>
            <wp:effectExtent l="0" t="0" r="9525" b="9525"/>
            <wp:wrapNone/>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2"/>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438525" cy="866775"/>
                    </a:xfrm>
                    <a:prstGeom prst="rect">
                      <a:avLst/>
                    </a:prstGeom>
                    <a:noFill/>
                    <a:ln>
                      <a:noFill/>
                    </a:ln>
                  </pic:spPr>
                </pic:pic>
              </a:graphicData>
            </a:graphic>
          </wp:anchor>
        </w:drawing>
      </w:r>
      <w:r w:rsidR="009F2E80">
        <w:br w:type="page"/>
      </w:r>
    </w:p>
    <w:sdt>
      <w:sdtPr>
        <w:rPr>
          <w:rFonts w:asciiTheme="minorHAnsi" w:eastAsiaTheme="minorHAnsi" w:hAnsiTheme="minorHAnsi" w:cstheme="minorBidi"/>
          <w:b w:val="0"/>
          <w:color w:val="auto"/>
          <w:sz w:val="22"/>
          <w:szCs w:val="22"/>
          <w:lang w:eastAsia="en-US"/>
        </w:rPr>
        <w:id w:val="2124258532"/>
        <w:docPartObj>
          <w:docPartGallery w:val="Table of Contents"/>
          <w:docPartUnique/>
        </w:docPartObj>
      </w:sdtPr>
      <w:sdtEndPr>
        <w:rPr>
          <w:bCs/>
        </w:rPr>
      </w:sdtEndPr>
      <w:sdtContent>
        <w:p w14:paraId="4A0C709C" w14:textId="77777777" w:rsidR="003A6E33" w:rsidRDefault="003A6E33">
          <w:pPr>
            <w:pStyle w:val="Nagwekspisutreci"/>
          </w:pPr>
          <w:r>
            <w:t>Spis treści</w:t>
          </w:r>
        </w:p>
        <w:p w14:paraId="0F54EF69" w14:textId="77777777" w:rsidR="003606AF" w:rsidRDefault="00A22821">
          <w:pPr>
            <w:pStyle w:val="Spistreci1"/>
            <w:tabs>
              <w:tab w:val="right" w:leader="dot" w:pos="9062"/>
            </w:tabs>
            <w:rPr>
              <w:rFonts w:eastAsiaTheme="minorEastAsia"/>
              <w:b w:val="0"/>
              <w:noProof/>
              <w:color w:val="auto"/>
              <w:lang w:eastAsia="pl-PL"/>
            </w:rPr>
          </w:pPr>
          <w:r>
            <w:fldChar w:fldCharType="begin"/>
          </w:r>
          <w:r>
            <w:instrText xml:space="preserve"> TOC \o "1-3" \h \z \u </w:instrText>
          </w:r>
          <w:r>
            <w:fldChar w:fldCharType="separate"/>
          </w:r>
          <w:hyperlink w:anchor="_Toc181691569" w:history="1">
            <w:r w:rsidR="003606AF" w:rsidRPr="00C700A4">
              <w:rPr>
                <w:rStyle w:val="Hipercze"/>
                <w:noProof/>
              </w:rPr>
              <w:t>Wstęp</w:t>
            </w:r>
            <w:r w:rsidR="003606AF">
              <w:rPr>
                <w:noProof/>
                <w:webHidden/>
              </w:rPr>
              <w:tab/>
            </w:r>
            <w:r w:rsidR="003606AF">
              <w:rPr>
                <w:noProof/>
                <w:webHidden/>
              </w:rPr>
              <w:fldChar w:fldCharType="begin"/>
            </w:r>
            <w:r w:rsidR="003606AF">
              <w:rPr>
                <w:noProof/>
                <w:webHidden/>
              </w:rPr>
              <w:instrText xml:space="preserve"> PAGEREF _Toc181691569 \h </w:instrText>
            </w:r>
            <w:r w:rsidR="003606AF">
              <w:rPr>
                <w:noProof/>
                <w:webHidden/>
              </w:rPr>
            </w:r>
            <w:r w:rsidR="003606AF">
              <w:rPr>
                <w:noProof/>
                <w:webHidden/>
              </w:rPr>
              <w:fldChar w:fldCharType="separate"/>
            </w:r>
            <w:r w:rsidR="003606AF">
              <w:rPr>
                <w:noProof/>
                <w:webHidden/>
              </w:rPr>
              <w:t>4</w:t>
            </w:r>
            <w:r w:rsidR="003606AF">
              <w:rPr>
                <w:noProof/>
                <w:webHidden/>
              </w:rPr>
              <w:fldChar w:fldCharType="end"/>
            </w:r>
          </w:hyperlink>
        </w:p>
        <w:p w14:paraId="487146BE" w14:textId="77777777" w:rsidR="003606AF" w:rsidRDefault="002F6F08">
          <w:pPr>
            <w:pStyle w:val="Spistreci1"/>
            <w:tabs>
              <w:tab w:val="right" w:leader="dot" w:pos="9062"/>
            </w:tabs>
            <w:rPr>
              <w:rFonts w:eastAsiaTheme="minorEastAsia"/>
              <w:b w:val="0"/>
              <w:noProof/>
              <w:color w:val="auto"/>
              <w:lang w:eastAsia="pl-PL"/>
            </w:rPr>
          </w:pPr>
          <w:hyperlink w:anchor="_Toc181691570" w:history="1">
            <w:r w:rsidR="003606AF" w:rsidRPr="00C700A4">
              <w:rPr>
                <w:rStyle w:val="Hipercze"/>
                <w:noProof/>
              </w:rPr>
              <w:t>1. Synteza diagnozy obszaru realizacji IIT</w:t>
            </w:r>
            <w:r w:rsidR="003606AF">
              <w:rPr>
                <w:noProof/>
                <w:webHidden/>
              </w:rPr>
              <w:tab/>
            </w:r>
            <w:r w:rsidR="003606AF">
              <w:rPr>
                <w:noProof/>
                <w:webHidden/>
              </w:rPr>
              <w:fldChar w:fldCharType="begin"/>
            </w:r>
            <w:r w:rsidR="003606AF">
              <w:rPr>
                <w:noProof/>
                <w:webHidden/>
              </w:rPr>
              <w:instrText xml:space="preserve"> PAGEREF _Toc181691570 \h </w:instrText>
            </w:r>
            <w:r w:rsidR="003606AF">
              <w:rPr>
                <w:noProof/>
                <w:webHidden/>
              </w:rPr>
            </w:r>
            <w:r w:rsidR="003606AF">
              <w:rPr>
                <w:noProof/>
                <w:webHidden/>
              </w:rPr>
              <w:fldChar w:fldCharType="separate"/>
            </w:r>
            <w:r w:rsidR="003606AF">
              <w:rPr>
                <w:noProof/>
                <w:webHidden/>
              </w:rPr>
              <w:t>5</w:t>
            </w:r>
            <w:r w:rsidR="003606AF">
              <w:rPr>
                <w:noProof/>
                <w:webHidden/>
              </w:rPr>
              <w:fldChar w:fldCharType="end"/>
            </w:r>
          </w:hyperlink>
        </w:p>
        <w:p w14:paraId="3CB3CF53" w14:textId="77777777" w:rsidR="003606AF" w:rsidRDefault="002F6F08">
          <w:pPr>
            <w:pStyle w:val="Spistreci2"/>
            <w:tabs>
              <w:tab w:val="right" w:leader="dot" w:pos="9062"/>
            </w:tabs>
            <w:rPr>
              <w:rFonts w:eastAsiaTheme="minorEastAsia"/>
              <w:noProof/>
              <w:lang w:eastAsia="pl-PL"/>
            </w:rPr>
          </w:pPr>
          <w:hyperlink w:anchor="_Toc181691571" w:history="1">
            <w:r w:rsidR="003606AF" w:rsidRPr="00C700A4">
              <w:rPr>
                <w:rStyle w:val="Hipercze"/>
                <w:noProof/>
              </w:rPr>
              <w:t>1.1 Delimitacja obszaru wsparcia</w:t>
            </w:r>
            <w:r w:rsidR="003606AF">
              <w:rPr>
                <w:noProof/>
                <w:webHidden/>
              </w:rPr>
              <w:tab/>
            </w:r>
            <w:r w:rsidR="003606AF">
              <w:rPr>
                <w:noProof/>
                <w:webHidden/>
              </w:rPr>
              <w:fldChar w:fldCharType="begin"/>
            </w:r>
            <w:r w:rsidR="003606AF">
              <w:rPr>
                <w:noProof/>
                <w:webHidden/>
              </w:rPr>
              <w:instrText xml:space="preserve"> PAGEREF _Toc181691571 \h </w:instrText>
            </w:r>
            <w:r w:rsidR="003606AF">
              <w:rPr>
                <w:noProof/>
                <w:webHidden/>
              </w:rPr>
            </w:r>
            <w:r w:rsidR="003606AF">
              <w:rPr>
                <w:noProof/>
                <w:webHidden/>
              </w:rPr>
              <w:fldChar w:fldCharType="separate"/>
            </w:r>
            <w:r w:rsidR="003606AF">
              <w:rPr>
                <w:noProof/>
                <w:webHidden/>
              </w:rPr>
              <w:t>5</w:t>
            </w:r>
            <w:r w:rsidR="003606AF">
              <w:rPr>
                <w:noProof/>
                <w:webHidden/>
              </w:rPr>
              <w:fldChar w:fldCharType="end"/>
            </w:r>
          </w:hyperlink>
        </w:p>
        <w:p w14:paraId="592576FF" w14:textId="77777777" w:rsidR="003606AF" w:rsidRDefault="002F6F08">
          <w:pPr>
            <w:pStyle w:val="Spistreci2"/>
            <w:tabs>
              <w:tab w:val="right" w:leader="dot" w:pos="9062"/>
            </w:tabs>
            <w:rPr>
              <w:rFonts w:eastAsiaTheme="minorEastAsia"/>
              <w:noProof/>
              <w:lang w:eastAsia="pl-PL"/>
            </w:rPr>
          </w:pPr>
          <w:hyperlink w:anchor="_Toc181691572" w:history="1">
            <w:r w:rsidR="003606AF" w:rsidRPr="00C700A4">
              <w:rPr>
                <w:rStyle w:val="Hipercze"/>
                <w:noProof/>
              </w:rPr>
              <w:t>1.2 Ogólna charakterystyka Obszaru</w:t>
            </w:r>
            <w:r w:rsidR="003606AF">
              <w:rPr>
                <w:noProof/>
                <w:webHidden/>
              </w:rPr>
              <w:tab/>
            </w:r>
            <w:r w:rsidR="003606AF">
              <w:rPr>
                <w:noProof/>
                <w:webHidden/>
              </w:rPr>
              <w:fldChar w:fldCharType="begin"/>
            </w:r>
            <w:r w:rsidR="003606AF">
              <w:rPr>
                <w:noProof/>
                <w:webHidden/>
              </w:rPr>
              <w:instrText xml:space="preserve"> PAGEREF _Toc181691572 \h </w:instrText>
            </w:r>
            <w:r w:rsidR="003606AF">
              <w:rPr>
                <w:noProof/>
                <w:webHidden/>
              </w:rPr>
            </w:r>
            <w:r w:rsidR="003606AF">
              <w:rPr>
                <w:noProof/>
                <w:webHidden/>
              </w:rPr>
              <w:fldChar w:fldCharType="separate"/>
            </w:r>
            <w:r w:rsidR="003606AF">
              <w:rPr>
                <w:noProof/>
                <w:webHidden/>
              </w:rPr>
              <w:t>11</w:t>
            </w:r>
            <w:r w:rsidR="003606AF">
              <w:rPr>
                <w:noProof/>
                <w:webHidden/>
              </w:rPr>
              <w:fldChar w:fldCharType="end"/>
            </w:r>
          </w:hyperlink>
        </w:p>
        <w:p w14:paraId="0D52F84B" w14:textId="77777777" w:rsidR="003606AF" w:rsidRDefault="002F6F08">
          <w:pPr>
            <w:pStyle w:val="Spistreci2"/>
            <w:tabs>
              <w:tab w:val="right" w:leader="dot" w:pos="9062"/>
            </w:tabs>
            <w:rPr>
              <w:rFonts w:eastAsiaTheme="minorEastAsia"/>
              <w:noProof/>
              <w:lang w:eastAsia="pl-PL"/>
            </w:rPr>
          </w:pPr>
          <w:hyperlink w:anchor="_Toc181691573" w:history="1">
            <w:r w:rsidR="003606AF" w:rsidRPr="00C700A4">
              <w:rPr>
                <w:rStyle w:val="Hipercze"/>
                <w:noProof/>
              </w:rPr>
              <w:t>1.3 Analiza wzajemnych powiązań gospodarczych, społecznych i środowiskowych</w:t>
            </w:r>
            <w:r w:rsidR="003606AF">
              <w:rPr>
                <w:noProof/>
                <w:webHidden/>
              </w:rPr>
              <w:tab/>
            </w:r>
            <w:r w:rsidR="003606AF">
              <w:rPr>
                <w:noProof/>
                <w:webHidden/>
              </w:rPr>
              <w:fldChar w:fldCharType="begin"/>
            </w:r>
            <w:r w:rsidR="003606AF">
              <w:rPr>
                <w:noProof/>
                <w:webHidden/>
              </w:rPr>
              <w:instrText xml:space="preserve"> PAGEREF _Toc181691573 \h </w:instrText>
            </w:r>
            <w:r w:rsidR="003606AF">
              <w:rPr>
                <w:noProof/>
                <w:webHidden/>
              </w:rPr>
            </w:r>
            <w:r w:rsidR="003606AF">
              <w:rPr>
                <w:noProof/>
                <w:webHidden/>
              </w:rPr>
              <w:fldChar w:fldCharType="separate"/>
            </w:r>
            <w:r w:rsidR="003606AF">
              <w:rPr>
                <w:noProof/>
                <w:webHidden/>
              </w:rPr>
              <w:t>12</w:t>
            </w:r>
            <w:r w:rsidR="003606AF">
              <w:rPr>
                <w:noProof/>
                <w:webHidden/>
              </w:rPr>
              <w:fldChar w:fldCharType="end"/>
            </w:r>
          </w:hyperlink>
        </w:p>
        <w:p w14:paraId="430C1F0D" w14:textId="77777777" w:rsidR="003606AF" w:rsidRDefault="002F6F08">
          <w:pPr>
            <w:pStyle w:val="Spistreci2"/>
            <w:tabs>
              <w:tab w:val="right" w:leader="dot" w:pos="9062"/>
            </w:tabs>
            <w:rPr>
              <w:rFonts w:eastAsiaTheme="minorEastAsia"/>
              <w:noProof/>
              <w:lang w:eastAsia="pl-PL"/>
            </w:rPr>
          </w:pPr>
          <w:hyperlink w:anchor="_Toc181691574" w:history="1">
            <w:r w:rsidR="003606AF" w:rsidRPr="00C700A4">
              <w:rPr>
                <w:rStyle w:val="Hipercze"/>
                <w:noProof/>
              </w:rPr>
              <w:t>1.4 Analiza SWOT</w:t>
            </w:r>
            <w:r w:rsidR="003606AF">
              <w:rPr>
                <w:noProof/>
                <w:webHidden/>
              </w:rPr>
              <w:tab/>
            </w:r>
            <w:r w:rsidR="003606AF">
              <w:rPr>
                <w:noProof/>
                <w:webHidden/>
              </w:rPr>
              <w:fldChar w:fldCharType="begin"/>
            </w:r>
            <w:r w:rsidR="003606AF">
              <w:rPr>
                <w:noProof/>
                <w:webHidden/>
              </w:rPr>
              <w:instrText xml:space="preserve"> PAGEREF _Toc181691574 \h </w:instrText>
            </w:r>
            <w:r w:rsidR="003606AF">
              <w:rPr>
                <w:noProof/>
                <w:webHidden/>
              </w:rPr>
            </w:r>
            <w:r w:rsidR="003606AF">
              <w:rPr>
                <w:noProof/>
                <w:webHidden/>
              </w:rPr>
              <w:fldChar w:fldCharType="separate"/>
            </w:r>
            <w:r w:rsidR="003606AF">
              <w:rPr>
                <w:noProof/>
                <w:webHidden/>
              </w:rPr>
              <w:t>15</w:t>
            </w:r>
            <w:r w:rsidR="003606AF">
              <w:rPr>
                <w:noProof/>
                <w:webHidden/>
              </w:rPr>
              <w:fldChar w:fldCharType="end"/>
            </w:r>
          </w:hyperlink>
        </w:p>
        <w:p w14:paraId="43100C57" w14:textId="77777777" w:rsidR="003606AF" w:rsidRDefault="002F6F08">
          <w:pPr>
            <w:pStyle w:val="Spistreci2"/>
            <w:tabs>
              <w:tab w:val="right" w:leader="dot" w:pos="9062"/>
            </w:tabs>
            <w:rPr>
              <w:rFonts w:eastAsiaTheme="minorEastAsia"/>
              <w:noProof/>
              <w:lang w:eastAsia="pl-PL"/>
            </w:rPr>
          </w:pPr>
          <w:hyperlink w:anchor="_Toc181691575" w:history="1">
            <w:r w:rsidR="003606AF" w:rsidRPr="00C700A4">
              <w:rPr>
                <w:rStyle w:val="Hipercze"/>
                <w:noProof/>
              </w:rPr>
              <w:t>1.5 Analiza problemów i potrzeb oraz potencjałów rozwojowych</w:t>
            </w:r>
            <w:r w:rsidR="003606AF">
              <w:rPr>
                <w:noProof/>
                <w:webHidden/>
              </w:rPr>
              <w:tab/>
            </w:r>
            <w:r w:rsidR="003606AF">
              <w:rPr>
                <w:noProof/>
                <w:webHidden/>
              </w:rPr>
              <w:fldChar w:fldCharType="begin"/>
            </w:r>
            <w:r w:rsidR="003606AF">
              <w:rPr>
                <w:noProof/>
                <w:webHidden/>
              </w:rPr>
              <w:instrText xml:space="preserve"> PAGEREF _Toc181691575 \h </w:instrText>
            </w:r>
            <w:r w:rsidR="003606AF">
              <w:rPr>
                <w:noProof/>
                <w:webHidden/>
              </w:rPr>
            </w:r>
            <w:r w:rsidR="003606AF">
              <w:rPr>
                <w:noProof/>
                <w:webHidden/>
              </w:rPr>
              <w:fldChar w:fldCharType="separate"/>
            </w:r>
            <w:r w:rsidR="003606AF">
              <w:rPr>
                <w:noProof/>
                <w:webHidden/>
              </w:rPr>
              <w:t>17</w:t>
            </w:r>
            <w:r w:rsidR="003606AF">
              <w:rPr>
                <w:noProof/>
                <w:webHidden/>
              </w:rPr>
              <w:fldChar w:fldCharType="end"/>
            </w:r>
          </w:hyperlink>
        </w:p>
        <w:p w14:paraId="59B63E8B" w14:textId="77777777" w:rsidR="003606AF" w:rsidRDefault="002F6F08">
          <w:pPr>
            <w:pStyle w:val="Spistreci1"/>
            <w:tabs>
              <w:tab w:val="right" w:leader="dot" w:pos="9062"/>
            </w:tabs>
            <w:rPr>
              <w:rFonts w:eastAsiaTheme="minorEastAsia"/>
              <w:b w:val="0"/>
              <w:noProof/>
              <w:color w:val="auto"/>
              <w:lang w:eastAsia="pl-PL"/>
            </w:rPr>
          </w:pPr>
          <w:hyperlink w:anchor="_Toc181691576" w:history="1">
            <w:r w:rsidR="003606AF" w:rsidRPr="00C700A4">
              <w:rPr>
                <w:rStyle w:val="Hipercze"/>
                <w:noProof/>
              </w:rPr>
              <w:t>2. Poziom strategiczny</w:t>
            </w:r>
            <w:r w:rsidR="003606AF">
              <w:rPr>
                <w:noProof/>
                <w:webHidden/>
              </w:rPr>
              <w:tab/>
            </w:r>
            <w:r w:rsidR="003606AF">
              <w:rPr>
                <w:noProof/>
                <w:webHidden/>
              </w:rPr>
              <w:fldChar w:fldCharType="begin"/>
            </w:r>
            <w:r w:rsidR="003606AF">
              <w:rPr>
                <w:noProof/>
                <w:webHidden/>
              </w:rPr>
              <w:instrText xml:space="preserve"> PAGEREF _Toc181691576 \h </w:instrText>
            </w:r>
            <w:r w:rsidR="003606AF">
              <w:rPr>
                <w:noProof/>
                <w:webHidden/>
              </w:rPr>
            </w:r>
            <w:r w:rsidR="003606AF">
              <w:rPr>
                <w:noProof/>
                <w:webHidden/>
              </w:rPr>
              <w:fldChar w:fldCharType="separate"/>
            </w:r>
            <w:r w:rsidR="003606AF">
              <w:rPr>
                <w:noProof/>
                <w:webHidden/>
              </w:rPr>
              <w:t>23</w:t>
            </w:r>
            <w:r w:rsidR="003606AF">
              <w:rPr>
                <w:noProof/>
                <w:webHidden/>
              </w:rPr>
              <w:fldChar w:fldCharType="end"/>
            </w:r>
          </w:hyperlink>
        </w:p>
        <w:p w14:paraId="3F8A4BA3" w14:textId="77777777" w:rsidR="003606AF" w:rsidRDefault="002F6F08">
          <w:pPr>
            <w:pStyle w:val="Spistreci2"/>
            <w:tabs>
              <w:tab w:val="right" w:leader="dot" w:pos="9062"/>
            </w:tabs>
            <w:rPr>
              <w:rFonts w:eastAsiaTheme="minorEastAsia"/>
              <w:noProof/>
              <w:lang w:eastAsia="pl-PL"/>
            </w:rPr>
          </w:pPr>
          <w:hyperlink w:anchor="_Toc181691577" w:history="1">
            <w:r w:rsidR="003606AF" w:rsidRPr="00C700A4">
              <w:rPr>
                <w:rStyle w:val="Hipercze"/>
                <w:noProof/>
              </w:rPr>
              <w:t>2.1 Założenia rozwojowe</w:t>
            </w:r>
            <w:r w:rsidR="003606AF">
              <w:rPr>
                <w:noProof/>
                <w:webHidden/>
              </w:rPr>
              <w:tab/>
            </w:r>
            <w:r w:rsidR="003606AF">
              <w:rPr>
                <w:noProof/>
                <w:webHidden/>
              </w:rPr>
              <w:fldChar w:fldCharType="begin"/>
            </w:r>
            <w:r w:rsidR="003606AF">
              <w:rPr>
                <w:noProof/>
                <w:webHidden/>
              </w:rPr>
              <w:instrText xml:space="preserve"> PAGEREF _Toc181691577 \h </w:instrText>
            </w:r>
            <w:r w:rsidR="003606AF">
              <w:rPr>
                <w:noProof/>
                <w:webHidden/>
              </w:rPr>
            </w:r>
            <w:r w:rsidR="003606AF">
              <w:rPr>
                <w:noProof/>
                <w:webHidden/>
              </w:rPr>
              <w:fldChar w:fldCharType="separate"/>
            </w:r>
            <w:r w:rsidR="003606AF">
              <w:rPr>
                <w:noProof/>
                <w:webHidden/>
              </w:rPr>
              <w:t>23</w:t>
            </w:r>
            <w:r w:rsidR="003606AF">
              <w:rPr>
                <w:noProof/>
                <w:webHidden/>
              </w:rPr>
              <w:fldChar w:fldCharType="end"/>
            </w:r>
          </w:hyperlink>
        </w:p>
        <w:p w14:paraId="378490B2" w14:textId="77777777" w:rsidR="003606AF" w:rsidRDefault="002F6F08">
          <w:pPr>
            <w:pStyle w:val="Spistreci2"/>
            <w:tabs>
              <w:tab w:val="right" w:leader="dot" w:pos="9062"/>
            </w:tabs>
            <w:rPr>
              <w:rFonts w:eastAsiaTheme="minorEastAsia"/>
              <w:noProof/>
              <w:lang w:eastAsia="pl-PL"/>
            </w:rPr>
          </w:pPr>
          <w:hyperlink w:anchor="_Toc181691578" w:history="1">
            <w:r w:rsidR="003606AF" w:rsidRPr="00C700A4">
              <w:rPr>
                <w:rStyle w:val="Hipercze"/>
                <w:noProof/>
              </w:rPr>
              <w:t>2.2 Cele strategiczne realizowane w ramach IIT</w:t>
            </w:r>
            <w:r w:rsidR="003606AF">
              <w:rPr>
                <w:noProof/>
                <w:webHidden/>
              </w:rPr>
              <w:tab/>
            </w:r>
            <w:r w:rsidR="003606AF">
              <w:rPr>
                <w:noProof/>
                <w:webHidden/>
              </w:rPr>
              <w:fldChar w:fldCharType="begin"/>
            </w:r>
            <w:r w:rsidR="003606AF">
              <w:rPr>
                <w:noProof/>
                <w:webHidden/>
              </w:rPr>
              <w:instrText xml:space="preserve"> PAGEREF _Toc181691578 \h </w:instrText>
            </w:r>
            <w:r w:rsidR="003606AF">
              <w:rPr>
                <w:noProof/>
                <w:webHidden/>
              </w:rPr>
            </w:r>
            <w:r w:rsidR="003606AF">
              <w:rPr>
                <w:noProof/>
                <w:webHidden/>
              </w:rPr>
              <w:fldChar w:fldCharType="separate"/>
            </w:r>
            <w:r w:rsidR="003606AF">
              <w:rPr>
                <w:noProof/>
                <w:webHidden/>
              </w:rPr>
              <w:t>24</w:t>
            </w:r>
            <w:r w:rsidR="003606AF">
              <w:rPr>
                <w:noProof/>
                <w:webHidden/>
              </w:rPr>
              <w:fldChar w:fldCharType="end"/>
            </w:r>
          </w:hyperlink>
        </w:p>
        <w:p w14:paraId="73AFC664" w14:textId="77777777" w:rsidR="003606AF" w:rsidRDefault="002F6F08">
          <w:pPr>
            <w:pStyle w:val="Spistreci1"/>
            <w:tabs>
              <w:tab w:val="right" w:leader="dot" w:pos="9062"/>
            </w:tabs>
            <w:rPr>
              <w:rFonts w:eastAsiaTheme="minorEastAsia"/>
              <w:b w:val="0"/>
              <w:noProof/>
              <w:color w:val="auto"/>
              <w:lang w:eastAsia="pl-PL"/>
            </w:rPr>
          </w:pPr>
          <w:hyperlink w:anchor="_Toc181691579" w:history="1">
            <w:r w:rsidR="003606AF" w:rsidRPr="00C700A4">
              <w:rPr>
                <w:rStyle w:val="Hipercze"/>
                <w:noProof/>
              </w:rPr>
              <w:t>3. Poziom operacyjny</w:t>
            </w:r>
            <w:r w:rsidR="003606AF">
              <w:rPr>
                <w:noProof/>
                <w:webHidden/>
              </w:rPr>
              <w:tab/>
            </w:r>
            <w:r w:rsidR="003606AF">
              <w:rPr>
                <w:noProof/>
                <w:webHidden/>
              </w:rPr>
              <w:fldChar w:fldCharType="begin"/>
            </w:r>
            <w:r w:rsidR="003606AF">
              <w:rPr>
                <w:noProof/>
                <w:webHidden/>
              </w:rPr>
              <w:instrText xml:space="preserve"> PAGEREF _Toc181691579 \h </w:instrText>
            </w:r>
            <w:r w:rsidR="003606AF">
              <w:rPr>
                <w:noProof/>
                <w:webHidden/>
              </w:rPr>
            </w:r>
            <w:r w:rsidR="003606AF">
              <w:rPr>
                <w:noProof/>
                <w:webHidden/>
              </w:rPr>
              <w:fldChar w:fldCharType="separate"/>
            </w:r>
            <w:r w:rsidR="003606AF">
              <w:rPr>
                <w:noProof/>
                <w:webHidden/>
              </w:rPr>
              <w:t>27</w:t>
            </w:r>
            <w:r w:rsidR="003606AF">
              <w:rPr>
                <w:noProof/>
                <w:webHidden/>
              </w:rPr>
              <w:fldChar w:fldCharType="end"/>
            </w:r>
          </w:hyperlink>
        </w:p>
        <w:p w14:paraId="395AE057" w14:textId="77777777" w:rsidR="003606AF" w:rsidRDefault="002F6F08">
          <w:pPr>
            <w:pStyle w:val="Spistreci2"/>
            <w:tabs>
              <w:tab w:val="right" w:leader="dot" w:pos="9062"/>
            </w:tabs>
            <w:rPr>
              <w:rFonts w:eastAsiaTheme="minorEastAsia"/>
              <w:noProof/>
              <w:lang w:eastAsia="pl-PL"/>
            </w:rPr>
          </w:pPr>
          <w:hyperlink w:anchor="_Toc181691580" w:history="1">
            <w:r w:rsidR="003606AF" w:rsidRPr="00C700A4">
              <w:rPr>
                <w:rStyle w:val="Hipercze"/>
                <w:noProof/>
              </w:rPr>
              <w:t>3.1 Lista projektów realizujących cele strategiczne</w:t>
            </w:r>
            <w:r w:rsidR="003606AF">
              <w:rPr>
                <w:noProof/>
                <w:webHidden/>
              </w:rPr>
              <w:tab/>
            </w:r>
            <w:r w:rsidR="003606AF">
              <w:rPr>
                <w:noProof/>
                <w:webHidden/>
              </w:rPr>
              <w:fldChar w:fldCharType="begin"/>
            </w:r>
            <w:r w:rsidR="003606AF">
              <w:rPr>
                <w:noProof/>
                <w:webHidden/>
              </w:rPr>
              <w:instrText xml:space="preserve"> PAGEREF _Toc181691580 \h </w:instrText>
            </w:r>
            <w:r w:rsidR="003606AF">
              <w:rPr>
                <w:noProof/>
                <w:webHidden/>
              </w:rPr>
            </w:r>
            <w:r w:rsidR="003606AF">
              <w:rPr>
                <w:noProof/>
                <w:webHidden/>
              </w:rPr>
              <w:fldChar w:fldCharType="separate"/>
            </w:r>
            <w:r w:rsidR="003606AF">
              <w:rPr>
                <w:noProof/>
                <w:webHidden/>
              </w:rPr>
              <w:t>27</w:t>
            </w:r>
            <w:r w:rsidR="003606AF">
              <w:rPr>
                <w:noProof/>
                <w:webHidden/>
              </w:rPr>
              <w:fldChar w:fldCharType="end"/>
            </w:r>
          </w:hyperlink>
        </w:p>
        <w:p w14:paraId="6E5D46BD" w14:textId="77777777" w:rsidR="003606AF" w:rsidRDefault="002F6F08">
          <w:pPr>
            <w:pStyle w:val="Spistreci1"/>
            <w:tabs>
              <w:tab w:val="right" w:leader="dot" w:pos="9062"/>
            </w:tabs>
            <w:rPr>
              <w:rFonts w:eastAsiaTheme="minorEastAsia"/>
              <w:b w:val="0"/>
              <w:noProof/>
              <w:color w:val="auto"/>
              <w:lang w:eastAsia="pl-PL"/>
            </w:rPr>
          </w:pPr>
          <w:hyperlink w:anchor="_Toc181691581" w:history="1">
            <w:r w:rsidR="003606AF" w:rsidRPr="00C700A4">
              <w:rPr>
                <w:rStyle w:val="Hipercze"/>
                <w:noProof/>
              </w:rPr>
              <w:t>4. Wdrażanie i realizacja Strategii</w:t>
            </w:r>
            <w:r w:rsidR="003606AF">
              <w:rPr>
                <w:noProof/>
                <w:webHidden/>
              </w:rPr>
              <w:tab/>
            </w:r>
            <w:r w:rsidR="003606AF">
              <w:rPr>
                <w:noProof/>
                <w:webHidden/>
              </w:rPr>
              <w:fldChar w:fldCharType="begin"/>
            </w:r>
            <w:r w:rsidR="003606AF">
              <w:rPr>
                <w:noProof/>
                <w:webHidden/>
              </w:rPr>
              <w:instrText xml:space="preserve"> PAGEREF _Toc181691581 \h </w:instrText>
            </w:r>
            <w:r w:rsidR="003606AF">
              <w:rPr>
                <w:noProof/>
                <w:webHidden/>
              </w:rPr>
            </w:r>
            <w:r w:rsidR="003606AF">
              <w:rPr>
                <w:noProof/>
                <w:webHidden/>
              </w:rPr>
              <w:fldChar w:fldCharType="separate"/>
            </w:r>
            <w:r w:rsidR="003606AF">
              <w:rPr>
                <w:noProof/>
                <w:webHidden/>
              </w:rPr>
              <w:t>41</w:t>
            </w:r>
            <w:r w:rsidR="003606AF">
              <w:rPr>
                <w:noProof/>
                <w:webHidden/>
              </w:rPr>
              <w:fldChar w:fldCharType="end"/>
            </w:r>
          </w:hyperlink>
        </w:p>
        <w:p w14:paraId="0B6FB866" w14:textId="77777777" w:rsidR="003606AF" w:rsidRDefault="002F6F08">
          <w:pPr>
            <w:pStyle w:val="Spistreci2"/>
            <w:tabs>
              <w:tab w:val="right" w:leader="dot" w:pos="9062"/>
            </w:tabs>
            <w:rPr>
              <w:rFonts w:eastAsiaTheme="minorEastAsia"/>
              <w:noProof/>
              <w:lang w:eastAsia="pl-PL"/>
            </w:rPr>
          </w:pPr>
          <w:hyperlink w:anchor="_Toc181691582" w:history="1">
            <w:r w:rsidR="003606AF" w:rsidRPr="00C700A4">
              <w:rPr>
                <w:rStyle w:val="Hipercze"/>
                <w:noProof/>
              </w:rPr>
              <w:t>4.1 System zarządzania</w:t>
            </w:r>
            <w:r w:rsidR="003606AF">
              <w:rPr>
                <w:noProof/>
                <w:webHidden/>
              </w:rPr>
              <w:tab/>
            </w:r>
            <w:r w:rsidR="003606AF">
              <w:rPr>
                <w:noProof/>
                <w:webHidden/>
              </w:rPr>
              <w:fldChar w:fldCharType="begin"/>
            </w:r>
            <w:r w:rsidR="003606AF">
              <w:rPr>
                <w:noProof/>
                <w:webHidden/>
              </w:rPr>
              <w:instrText xml:space="preserve"> PAGEREF _Toc181691582 \h </w:instrText>
            </w:r>
            <w:r w:rsidR="003606AF">
              <w:rPr>
                <w:noProof/>
                <w:webHidden/>
              </w:rPr>
            </w:r>
            <w:r w:rsidR="003606AF">
              <w:rPr>
                <w:noProof/>
                <w:webHidden/>
              </w:rPr>
              <w:fldChar w:fldCharType="separate"/>
            </w:r>
            <w:r w:rsidR="003606AF">
              <w:rPr>
                <w:noProof/>
                <w:webHidden/>
              </w:rPr>
              <w:t>41</w:t>
            </w:r>
            <w:r w:rsidR="003606AF">
              <w:rPr>
                <w:noProof/>
                <w:webHidden/>
              </w:rPr>
              <w:fldChar w:fldCharType="end"/>
            </w:r>
          </w:hyperlink>
        </w:p>
        <w:p w14:paraId="5801DEB8" w14:textId="77777777" w:rsidR="003606AF" w:rsidRDefault="002F6F08">
          <w:pPr>
            <w:pStyle w:val="Spistreci2"/>
            <w:tabs>
              <w:tab w:val="right" w:leader="dot" w:pos="9062"/>
            </w:tabs>
            <w:rPr>
              <w:rFonts w:eastAsiaTheme="minorEastAsia"/>
              <w:noProof/>
              <w:lang w:eastAsia="pl-PL"/>
            </w:rPr>
          </w:pPr>
          <w:hyperlink w:anchor="_Toc181691583" w:history="1">
            <w:r w:rsidR="003606AF" w:rsidRPr="00C700A4">
              <w:rPr>
                <w:rStyle w:val="Hipercze"/>
                <w:noProof/>
              </w:rPr>
              <w:t>4.2 Opis procesu zaangażowania partnerów społeczno-gospodarczych</w:t>
            </w:r>
            <w:r w:rsidR="003606AF">
              <w:rPr>
                <w:noProof/>
                <w:webHidden/>
              </w:rPr>
              <w:tab/>
            </w:r>
            <w:r w:rsidR="003606AF">
              <w:rPr>
                <w:noProof/>
                <w:webHidden/>
              </w:rPr>
              <w:fldChar w:fldCharType="begin"/>
            </w:r>
            <w:r w:rsidR="003606AF">
              <w:rPr>
                <w:noProof/>
                <w:webHidden/>
              </w:rPr>
              <w:instrText xml:space="preserve"> PAGEREF _Toc181691583 \h </w:instrText>
            </w:r>
            <w:r w:rsidR="003606AF">
              <w:rPr>
                <w:noProof/>
                <w:webHidden/>
              </w:rPr>
            </w:r>
            <w:r w:rsidR="003606AF">
              <w:rPr>
                <w:noProof/>
                <w:webHidden/>
              </w:rPr>
              <w:fldChar w:fldCharType="separate"/>
            </w:r>
            <w:r w:rsidR="003606AF">
              <w:rPr>
                <w:noProof/>
                <w:webHidden/>
              </w:rPr>
              <w:t>43</w:t>
            </w:r>
            <w:r w:rsidR="003606AF">
              <w:rPr>
                <w:noProof/>
                <w:webHidden/>
              </w:rPr>
              <w:fldChar w:fldCharType="end"/>
            </w:r>
          </w:hyperlink>
        </w:p>
        <w:p w14:paraId="5ACA257D" w14:textId="77777777" w:rsidR="003606AF" w:rsidRDefault="002F6F08">
          <w:pPr>
            <w:pStyle w:val="Spistreci2"/>
            <w:tabs>
              <w:tab w:val="right" w:leader="dot" w:pos="9062"/>
            </w:tabs>
            <w:rPr>
              <w:rFonts w:eastAsiaTheme="minorEastAsia"/>
              <w:noProof/>
              <w:lang w:eastAsia="pl-PL"/>
            </w:rPr>
          </w:pPr>
          <w:hyperlink w:anchor="_Toc181691584" w:history="1">
            <w:r w:rsidR="003606AF" w:rsidRPr="00C700A4">
              <w:rPr>
                <w:rStyle w:val="Hipercze"/>
                <w:noProof/>
              </w:rPr>
              <w:t>4.3 Oczekiwane wskaźniki rezultatu i produktu oraz ich monitoring</w:t>
            </w:r>
            <w:r w:rsidR="003606AF">
              <w:rPr>
                <w:noProof/>
                <w:webHidden/>
              </w:rPr>
              <w:tab/>
            </w:r>
            <w:r w:rsidR="003606AF">
              <w:rPr>
                <w:noProof/>
                <w:webHidden/>
              </w:rPr>
              <w:fldChar w:fldCharType="begin"/>
            </w:r>
            <w:r w:rsidR="003606AF">
              <w:rPr>
                <w:noProof/>
                <w:webHidden/>
              </w:rPr>
              <w:instrText xml:space="preserve"> PAGEREF _Toc181691584 \h </w:instrText>
            </w:r>
            <w:r w:rsidR="003606AF">
              <w:rPr>
                <w:noProof/>
                <w:webHidden/>
              </w:rPr>
            </w:r>
            <w:r w:rsidR="003606AF">
              <w:rPr>
                <w:noProof/>
                <w:webHidden/>
              </w:rPr>
              <w:fldChar w:fldCharType="separate"/>
            </w:r>
            <w:r w:rsidR="003606AF">
              <w:rPr>
                <w:noProof/>
                <w:webHidden/>
              </w:rPr>
              <w:t>45</w:t>
            </w:r>
            <w:r w:rsidR="003606AF">
              <w:rPr>
                <w:noProof/>
                <w:webHidden/>
              </w:rPr>
              <w:fldChar w:fldCharType="end"/>
            </w:r>
          </w:hyperlink>
        </w:p>
        <w:p w14:paraId="180D14CA" w14:textId="77777777" w:rsidR="003606AF" w:rsidRDefault="002F6F08">
          <w:pPr>
            <w:pStyle w:val="Spistreci2"/>
            <w:tabs>
              <w:tab w:val="right" w:leader="dot" w:pos="9062"/>
            </w:tabs>
            <w:rPr>
              <w:rFonts w:eastAsiaTheme="minorEastAsia"/>
              <w:noProof/>
              <w:lang w:eastAsia="pl-PL"/>
            </w:rPr>
          </w:pPr>
          <w:hyperlink w:anchor="_Toc181691585" w:history="1">
            <w:r w:rsidR="003606AF" w:rsidRPr="00C700A4">
              <w:rPr>
                <w:rStyle w:val="Hipercze"/>
                <w:noProof/>
              </w:rPr>
              <w:t>4.4 Plan finansowy</w:t>
            </w:r>
            <w:r w:rsidR="003606AF">
              <w:rPr>
                <w:noProof/>
                <w:webHidden/>
              </w:rPr>
              <w:tab/>
            </w:r>
            <w:r w:rsidR="003606AF">
              <w:rPr>
                <w:noProof/>
                <w:webHidden/>
              </w:rPr>
              <w:fldChar w:fldCharType="begin"/>
            </w:r>
            <w:r w:rsidR="003606AF">
              <w:rPr>
                <w:noProof/>
                <w:webHidden/>
              </w:rPr>
              <w:instrText xml:space="preserve"> PAGEREF _Toc181691585 \h </w:instrText>
            </w:r>
            <w:r w:rsidR="003606AF">
              <w:rPr>
                <w:noProof/>
                <w:webHidden/>
              </w:rPr>
            </w:r>
            <w:r w:rsidR="003606AF">
              <w:rPr>
                <w:noProof/>
                <w:webHidden/>
              </w:rPr>
              <w:fldChar w:fldCharType="separate"/>
            </w:r>
            <w:r w:rsidR="003606AF">
              <w:rPr>
                <w:noProof/>
                <w:webHidden/>
              </w:rPr>
              <w:t>47</w:t>
            </w:r>
            <w:r w:rsidR="003606AF">
              <w:rPr>
                <w:noProof/>
                <w:webHidden/>
              </w:rPr>
              <w:fldChar w:fldCharType="end"/>
            </w:r>
          </w:hyperlink>
        </w:p>
        <w:p w14:paraId="48E33DD5" w14:textId="77777777" w:rsidR="003606AF" w:rsidRDefault="002F6F08">
          <w:pPr>
            <w:pStyle w:val="Spistreci1"/>
            <w:tabs>
              <w:tab w:val="right" w:leader="dot" w:pos="9062"/>
            </w:tabs>
            <w:rPr>
              <w:rFonts w:eastAsiaTheme="minorEastAsia"/>
              <w:b w:val="0"/>
              <w:noProof/>
              <w:color w:val="auto"/>
              <w:lang w:eastAsia="pl-PL"/>
            </w:rPr>
          </w:pPr>
          <w:hyperlink w:anchor="_Toc181691586" w:history="1">
            <w:r w:rsidR="003606AF" w:rsidRPr="00C700A4">
              <w:rPr>
                <w:rStyle w:val="Hipercze"/>
                <w:noProof/>
              </w:rPr>
              <w:t>Spis tabel</w:t>
            </w:r>
            <w:r w:rsidR="003606AF">
              <w:rPr>
                <w:noProof/>
                <w:webHidden/>
              </w:rPr>
              <w:tab/>
            </w:r>
            <w:r w:rsidR="003606AF">
              <w:rPr>
                <w:noProof/>
                <w:webHidden/>
              </w:rPr>
              <w:fldChar w:fldCharType="begin"/>
            </w:r>
            <w:r w:rsidR="003606AF">
              <w:rPr>
                <w:noProof/>
                <w:webHidden/>
              </w:rPr>
              <w:instrText xml:space="preserve"> PAGEREF _Toc181691586 \h </w:instrText>
            </w:r>
            <w:r w:rsidR="003606AF">
              <w:rPr>
                <w:noProof/>
                <w:webHidden/>
              </w:rPr>
            </w:r>
            <w:r w:rsidR="003606AF">
              <w:rPr>
                <w:noProof/>
                <w:webHidden/>
              </w:rPr>
              <w:fldChar w:fldCharType="separate"/>
            </w:r>
            <w:r w:rsidR="003606AF">
              <w:rPr>
                <w:noProof/>
                <w:webHidden/>
              </w:rPr>
              <w:t>49</w:t>
            </w:r>
            <w:r w:rsidR="003606AF">
              <w:rPr>
                <w:noProof/>
                <w:webHidden/>
              </w:rPr>
              <w:fldChar w:fldCharType="end"/>
            </w:r>
          </w:hyperlink>
        </w:p>
        <w:p w14:paraId="50C7F3E9" w14:textId="77777777" w:rsidR="003606AF" w:rsidRDefault="002F6F08">
          <w:pPr>
            <w:pStyle w:val="Spistreci1"/>
            <w:tabs>
              <w:tab w:val="right" w:leader="dot" w:pos="9062"/>
            </w:tabs>
            <w:rPr>
              <w:rFonts w:eastAsiaTheme="minorEastAsia"/>
              <w:b w:val="0"/>
              <w:noProof/>
              <w:color w:val="auto"/>
              <w:lang w:eastAsia="pl-PL"/>
            </w:rPr>
          </w:pPr>
          <w:hyperlink w:anchor="_Toc181691587" w:history="1">
            <w:r w:rsidR="003606AF" w:rsidRPr="00C700A4">
              <w:rPr>
                <w:rStyle w:val="Hipercze"/>
                <w:noProof/>
              </w:rPr>
              <w:t>Załącznik. Sprawozdanie z konsultacji społecznych</w:t>
            </w:r>
            <w:r w:rsidR="003606AF">
              <w:rPr>
                <w:noProof/>
                <w:webHidden/>
              </w:rPr>
              <w:tab/>
            </w:r>
            <w:r w:rsidR="003606AF">
              <w:rPr>
                <w:noProof/>
                <w:webHidden/>
              </w:rPr>
              <w:fldChar w:fldCharType="begin"/>
            </w:r>
            <w:r w:rsidR="003606AF">
              <w:rPr>
                <w:noProof/>
                <w:webHidden/>
              </w:rPr>
              <w:instrText xml:space="preserve"> PAGEREF _Toc181691587 \h </w:instrText>
            </w:r>
            <w:r w:rsidR="003606AF">
              <w:rPr>
                <w:noProof/>
                <w:webHidden/>
              </w:rPr>
            </w:r>
            <w:r w:rsidR="003606AF">
              <w:rPr>
                <w:noProof/>
                <w:webHidden/>
              </w:rPr>
              <w:fldChar w:fldCharType="separate"/>
            </w:r>
            <w:r w:rsidR="003606AF">
              <w:rPr>
                <w:noProof/>
                <w:webHidden/>
              </w:rPr>
              <w:t>50</w:t>
            </w:r>
            <w:r w:rsidR="003606AF">
              <w:rPr>
                <w:noProof/>
                <w:webHidden/>
              </w:rPr>
              <w:fldChar w:fldCharType="end"/>
            </w:r>
          </w:hyperlink>
        </w:p>
        <w:p w14:paraId="6BBDE404" w14:textId="546F3930" w:rsidR="003A6E33" w:rsidRDefault="00A22821">
          <w:r>
            <w:rPr>
              <w:color w:val="2683C6" w:themeColor="accent6"/>
            </w:rPr>
            <w:fldChar w:fldCharType="end"/>
          </w:r>
        </w:p>
      </w:sdtContent>
    </w:sdt>
    <w:p w14:paraId="6EE15F91" w14:textId="77777777" w:rsidR="009F2E80" w:rsidRDefault="009F2E80">
      <w:r>
        <w:br w:type="page"/>
      </w:r>
    </w:p>
    <w:p w14:paraId="571C3017" w14:textId="77777777" w:rsidR="002044BE" w:rsidRDefault="009F2E80" w:rsidP="009F2E80">
      <w:pPr>
        <w:pStyle w:val="Nagwek1"/>
      </w:pPr>
      <w:bookmarkStart w:id="0" w:name="_Toc181691569"/>
      <w:r>
        <w:lastRenderedPageBreak/>
        <w:t>Wstęp</w:t>
      </w:r>
      <w:bookmarkEnd w:id="0"/>
    </w:p>
    <w:p w14:paraId="7AE2EBE8" w14:textId="77777777" w:rsidR="005D55B2" w:rsidRDefault="005D55B2" w:rsidP="005B7B94">
      <w:pPr>
        <w:spacing w:line="360" w:lineRule="auto"/>
        <w:jc w:val="both"/>
      </w:pPr>
      <w:r>
        <w:t xml:space="preserve">W perspektywie finansowej 2021-2027 w ramach </w:t>
      </w:r>
      <w:r w:rsidRPr="00B35C5B">
        <w:t>programu Fundusze Europejskie dla Mało</w:t>
      </w:r>
      <w:r>
        <w:t>polski 2021-2027 zaplanowano wdrażanie Innych Instrumentów Terytorialnych (IIT), których głównym założeniem jest wsparcie oddolnych inicjatyw, co przyniesie nowe perspektywy dla rozwoju obszarów miejskich i wiejskich, powiązanych ze sobą funkcjonalnie, bądź problemowo.</w:t>
      </w:r>
      <w:r w:rsidRPr="005B7B94">
        <w:t xml:space="preserve"> </w:t>
      </w:r>
      <w:r>
        <w:t xml:space="preserve">Wsparcie to ma zapewnić większą współpracę między władzami lokalnymi i m.in. partnerami społeczno-gospodarczymi oraz podmiotami reprezentującymi społeczeństwo obywatelskie oraz przyczynić się do niwelowania różnic rozwojowych na poziomie wewnątrzregionalnym. </w:t>
      </w:r>
    </w:p>
    <w:p w14:paraId="5C4DDAA2" w14:textId="03FE767E" w:rsidR="001A43C3" w:rsidRDefault="005D55B2" w:rsidP="005B7B94">
      <w:pPr>
        <w:spacing w:line="360" w:lineRule="auto"/>
        <w:jc w:val="both"/>
      </w:pPr>
      <w:r>
        <w:t xml:space="preserve">Podstawę do wdrażania IIT stanowi strategia opracowana przez partnerskie samorządy, które w jej ramach podejmują się realizacji wspólnych przedsięwzięć zintegrowanych. </w:t>
      </w:r>
      <w:r w:rsidR="0036331E">
        <w:t>Gminy: Olkusz, Klucze i </w:t>
      </w:r>
      <w:r w:rsidR="001A43C3">
        <w:t>Bolesław, ze względu na silne powiązania funkcjonalne oraz wspólne problemy i potencjały rozwojowe, przygotowały dokument strategiczny, na podstawie którego w najbliższych latach będą realizowały projekty mające na celu poprawę sytuacji obszaru funkcjonalnego oraz jego wielokierunkowy rozwój.</w:t>
      </w:r>
    </w:p>
    <w:p w14:paraId="3D22E643" w14:textId="5551949F" w:rsidR="005D55B2" w:rsidRDefault="005B7B94" w:rsidP="005B7B94">
      <w:pPr>
        <w:spacing w:line="360" w:lineRule="auto"/>
        <w:jc w:val="both"/>
      </w:pPr>
      <w:r>
        <w:t xml:space="preserve">Strategia Innego Instrumentu Terytorialnego dla obszarów Gminy Olkusz, Gminy Klucze i Gminy Bolesław </w:t>
      </w:r>
      <w:r w:rsidR="004358B2">
        <w:t>składa się z czterech zasadniczych części. Pierwsza z nich stanowi syntezę diagnozy obszaru wsparcia i zawiera kluczowe ustalenia diagnostyczne, w tym m.in. delimitację obszaru, analizę wzajemnych powiązań w jego obrębie oraz identyfikację problemów i potrzeb oraz potencjałów rozwojowych partnerskich gmin. W drugiej części przedstawiono natomiast założenia rozwojowe oraz wypracowane na ich podstawie cele strategiczne realizowane w ramach IIT. W kolejnej części zawarto listę projektów realizujących cele wraz z uzasadnieniem i charakterystyką, a także przedstawiono proces ich wyboru.</w:t>
      </w:r>
      <w:r w:rsidR="006676E0">
        <w:t xml:space="preserve"> Czwarta część zawiera zasady wdrażania i realizacji strategii, w tym opis systemu zarządzania oraz procesu zaangażowania partnerów społeczn</w:t>
      </w:r>
      <w:r w:rsidR="0036331E">
        <w:t>o-gospodarczych w opracowanie i </w:t>
      </w:r>
      <w:r w:rsidR="006676E0">
        <w:t xml:space="preserve">wdrażanie założeń dokumentu. </w:t>
      </w:r>
    </w:p>
    <w:p w14:paraId="6F755E56" w14:textId="77777777" w:rsidR="00CE57E7" w:rsidRDefault="00CE57E7" w:rsidP="005B7B94">
      <w:pPr>
        <w:spacing w:line="360" w:lineRule="auto"/>
        <w:jc w:val="both"/>
      </w:pPr>
    </w:p>
    <w:p w14:paraId="6F6DCA47" w14:textId="69269C8D" w:rsidR="00A01433" w:rsidRDefault="00A01433" w:rsidP="005B7B94">
      <w:pPr>
        <w:spacing w:line="360" w:lineRule="auto"/>
        <w:jc w:val="both"/>
        <w:rPr>
          <w:rFonts w:asciiTheme="majorHAnsi" w:eastAsiaTheme="majorEastAsia" w:hAnsiTheme="majorHAnsi" w:cstheme="majorBidi"/>
          <w:color w:val="276E8B" w:themeColor="accent1" w:themeShade="BF"/>
          <w:sz w:val="32"/>
          <w:szCs w:val="32"/>
        </w:rPr>
      </w:pPr>
      <w:r>
        <w:br w:type="page"/>
      </w:r>
    </w:p>
    <w:p w14:paraId="61F60385" w14:textId="2B687B12" w:rsidR="009F2E80" w:rsidRDefault="00A22821" w:rsidP="009F2E80">
      <w:pPr>
        <w:pStyle w:val="Nagwek1"/>
      </w:pPr>
      <w:bookmarkStart w:id="1" w:name="_Toc181691570"/>
      <w:r>
        <w:lastRenderedPageBreak/>
        <w:t xml:space="preserve">1. </w:t>
      </w:r>
      <w:r w:rsidR="009F2E80">
        <w:t>Synteza diagnozy obszaru realizacji IIT</w:t>
      </w:r>
      <w:bookmarkEnd w:id="1"/>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E6F6" w:themeFill="accent6" w:themeFillTint="33"/>
        <w:tblLook w:val="04A0" w:firstRow="1" w:lastRow="0" w:firstColumn="1" w:lastColumn="0" w:noHBand="0" w:noVBand="1"/>
      </w:tblPr>
      <w:tblGrid>
        <w:gridCol w:w="9062"/>
      </w:tblGrid>
      <w:tr w:rsidR="00A01433" w14:paraId="1F9F9E71" w14:textId="77777777" w:rsidTr="00A22821">
        <w:tc>
          <w:tcPr>
            <w:tcW w:w="9062" w:type="dxa"/>
            <w:shd w:val="clear" w:color="auto" w:fill="D0E6F6" w:themeFill="accent6" w:themeFillTint="33"/>
          </w:tcPr>
          <w:p w14:paraId="35F1FDBA" w14:textId="77777777" w:rsidR="00A01433" w:rsidRDefault="00A01433" w:rsidP="00A22821">
            <w:pPr>
              <w:spacing w:before="120" w:after="120"/>
            </w:pPr>
            <w:r w:rsidRPr="00E265E0">
              <w:rPr>
                <w:sz w:val="20"/>
              </w:rPr>
              <w:t>Rozdział wynika z art. 36 ust. 8 ustawy z dnia 28 kwietnia 2022 r. o zasadach realizacji zadań finansowanych ze środków europejskich w perspektywie finansowej 2021-2027 wskazującego, iż strategia IIT określa w szczególności m.in. syntezę diagnozy obszaru realizacji IIT wraz z analizą problemów, potrzeb i potencjałów rozwojowych, w tym wzajemnych powiązań gospodarczych, społecznych i środowiskowych.</w:t>
            </w:r>
          </w:p>
        </w:tc>
      </w:tr>
    </w:tbl>
    <w:p w14:paraId="498E0EAC" w14:textId="77777777" w:rsidR="00A01433" w:rsidRPr="00A01433" w:rsidRDefault="00C01C1D" w:rsidP="00C01C1D">
      <w:pPr>
        <w:spacing w:before="240" w:line="360" w:lineRule="auto"/>
        <w:jc w:val="both"/>
      </w:pPr>
      <w:r w:rsidRPr="00DA62BB">
        <w:t>Na potrzeby strategii</w:t>
      </w:r>
      <w:r>
        <w:t xml:space="preserve"> </w:t>
      </w:r>
      <w:r w:rsidR="00A01433">
        <w:t xml:space="preserve">przeprowadzono analizę </w:t>
      </w:r>
      <w:r>
        <w:t>danych statystycznych oraz ogólnodostępnych informacji dotyczących sytuacji społecznej, gospodarczej, przestrzennej</w:t>
      </w:r>
      <w:r w:rsidR="00A01433">
        <w:t xml:space="preserve"> i środowiskową obszaru wsparcia,</w:t>
      </w:r>
      <w:r>
        <w:t xml:space="preserve"> tj. gmin: Olkusz, Bolesław i Klucze</w:t>
      </w:r>
      <w:r w:rsidR="00A01433">
        <w:t xml:space="preserve">. </w:t>
      </w:r>
      <w:r>
        <w:t xml:space="preserve">Wyniki prac diagnostycznych przedstawiono w odrębnym opracowaniu, </w:t>
      </w:r>
      <w:r w:rsidR="00A01433">
        <w:t xml:space="preserve">w tej części </w:t>
      </w:r>
      <w:r>
        <w:t xml:space="preserve">natomiast </w:t>
      </w:r>
      <w:r w:rsidR="00A01433">
        <w:t xml:space="preserve">przedstawiono </w:t>
      </w:r>
      <w:r>
        <w:t xml:space="preserve">kluczowe wnioski, na bazie których wypracowuje się założenia rozwojowe partnerskich gmin na kolejne lata. </w:t>
      </w:r>
    </w:p>
    <w:p w14:paraId="69D5AA1C" w14:textId="18C358D3" w:rsidR="009F2E80" w:rsidRDefault="009B1037" w:rsidP="009F2E80">
      <w:pPr>
        <w:pStyle w:val="Nagwek2"/>
      </w:pPr>
      <w:bookmarkStart w:id="2" w:name="_Toc181691571"/>
      <w:r>
        <w:t xml:space="preserve">1.1 </w:t>
      </w:r>
      <w:r w:rsidR="009F2E80">
        <w:t>Delimitacja obszaru wsparcia</w:t>
      </w:r>
      <w:bookmarkEnd w:id="2"/>
    </w:p>
    <w:p w14:paraId="2831533E" w14:textId="153100AD" w:rsidR="00884DD1" w:rsidRDefault="00884DD1" w:rsidP="00AE523F">
      <w:pPr>
        <w:spacing w:line="360" w:lineRule="auto"/>
        <w:jc w:val="both"/>
      </w:pPr>
      <w:r w:rsidRPr="0067028C">
        <w:t xml:space="preserve">Inne Instrumenty Terytorialne </w:t>
      </w:r>
      <w:r w:rsidR="00AE523F">
        <w:t xml:space="preserve">(IIT) </w:t>
      </w:r>
      <w:r w:rsidRPr="0067028C">
        <w:t xml:space="preserve">są jednym z instrumentów terytorialnych wprowadzonych w unijnej perspektywie finansowej 2021-2027. Zgodnie z wytycznymi określonymi w </w:t>
      </w:r>
      <w:r w:rsidR="00AE523F">
        <w:t>Załączniku nr 1 do Uchwały Nr 1984 /24 Zarządu Województwa Małopolskiego z dnia 24 września 2024 r., IIT jest instrumentem wspierającym rozwój obszarów powiązanych ze sobą funkcjonalnie lub problemowo (min. dwie gminy) przez realizację projektów, które wynikają ze wspólnie opracowanej strategii.</w:t>
      </w:r>
    </w:p>
    <w:p w14:paraId="07533F14" w14:textId="77777777" w:rsidR="00884DD1" w:rsidRDefault="00884DD1" w:rsidP="00884DD1">
      <w:pPr>
        <w:spacing w:line="360" w:lineRule="auto"/>
        <w:jc w:val="both"/>
      </w:pPr>
      <w:r>
        <w:t xml:space="preserve">Do podjęcia działań w ramach IIT niezbędna jest strategia IIT, która jest przyjmowana przez partnerstwo gmin lub partnerstwo gmin i powiatów </w:t>
      </w:r>
      <w:r w:rsidRPr="0067028C">
        <w:t>(w ramach jednej z form prawnych współpracy)</w:t>
      </w:r>
      <w:r>
        <w:t xml:space="preserve">. Partnerstwo musi uwzględniać co najmniej jeden obszar o charakterze miejskim </w:t>
      </w:r>
      <w:r w:rsidRPr="0067028C">
        <w:t>(tj. miasto, gminę miejską, gminę miejsko-wiejską). Do wsparcia w ramach IIT uprawnione są miasta małe i średnie będące jednocześnie miastami powiatowymi</w:t>
      </w:r>
      <w:r>
        <w:t xml:space="preserve"> – </w:t>
      </w:r>
      <w:r w:rsidRPr="0067028C">
        <w:t>w tym</w:t>
      </w:r>
      <w:r>
        <w:t xml:space="preserve"> przypadku miasto Olkusz.</w:t>
      </w:r>
    </w:p>
    <w:p w14:paraId="1FA795AB" w14:textId="494D890A" w:rsidR="00884DD1" w:rsidRPr="0067028C" w:rsidRDefault="00884DD1" w:rsidP="00884DD1">
      <w:pPr>
        <w:spacing w:line="360" w:lineRule="auto"/>
        <w:jc w:val="both"/>
      </w:pPr>
      <w:r w:rsidRPr="0067028C">
        <w:t xml:space="preserve">Zgodnie z wymogami formalnymi strategia IIT musi zawierać </w:t>
      </w:r>
      <w:r>
        <w:t xml:space="preserve">opis powiązań funkcjonalnych </w:t>
      </w:r>
      <w:r w:rsidRPr="0067028C">
        <w:t>obszaru oraz delimitację obszaru funkcjonalnego</w:t>
      </w:r>
      <w:r w:rsidR="00032DF2">
        <w:t xml:space="preserve"> (OF)</w:t>
      </w:r>
      <w:r w:rsidRPr="0067028C">
        <w:t>. Delimitacja wskazuje konkretny zasięg terytorialnego obszaru wsparcia</w:t>
      </w:r>
      <w:r w:rsidR="0036331E">
        <w:t>,</w:t>
      </w:r>
      <w:r w:rsidRPr="0067028C">
        <w:t xml:space="preserve"> rozumianego jako struktura konkretnych gmin, w tym identyfikuje wzajemne powiązania funkcjonalne pomiędzy poszczególnymi </w:t>
      </w:r>
      <w:r w:rsidR="0036331E">
        <w:t>samorządami</w:t>
      </w:r>
      <w:r w:rsidRPr="0067028C">
        <w:t>. Pozwala to na wskazanie konkretnych celów i projektów, które wynikaj</w:t>
      </w:r>
      <w:r>
        <w:t>ą z wzajemnych powiązań obszaru.</w:t>
      </w:r>
    </w:p>
    <w:p w14:paraId="7B258BD2" w14:textId="21ABDB88" w:rsidR="00884DD1" w:rsidRDefault="00884DD1" w:rsidP="00884DD1">
      <w:pPr>
        <w:spacing w:line="360" w:lineRule="auto"/>
        <w:jc w:val="both"/>
      </w:pPr>
      <w:r w:rsidRPr="0067028C">
        <w:t>Według przyjętych założeń, do weryf</w:t>
      </w:r>
      <w:r w:rsidR="00032DF2">
        <w:t xml:space="preserve">ikacji powiązań funkcjonalnych </w:t>
      </w:r>
      <w:r w:rsidRPr="0067028C">
        <w:t xml:space="preserve">OF </w:t>
      </w:r>
      <w:r>
        <w:t>Olkusza</w:t>
      </w:r>
      <w:r w:rsidRPr="0067028C">
        <w:t xml:space="preserve"> wykorzystano siedem wskaźników, które przedstawiono w poniższej tabeli.</w:t>
      </w:r>
    </w:p>
    <w:p w14:paraId="1EB1F09D" w14:textId="77777777" w:rsidR="00A22821" w:rsidRDefault="00A22821" w:rsidP="00884DD1">
      <w:pPr>
        <w:pStyle w:val="Legenda"/>
        <w:keepNext/>
        <w:spacing w:after="0"/>
      </w:pPr>
      <w:r>
        <w:br w:type="page"/>
      </w:r>
    </w:p>
    <w:p w14:paraId="4113D82F" w14:textId="37DC6F98" w:rsidR="00884DD1" w:rsidRDefault="00884DD1" w:rsidP="00884DD1">
      <w:pPr>
        <w:pStyle w:val="Legenda"/>
        <w:keepNext/>
        <w:spacing w:after="0"/>
      </w:pPr>
      <w:bookmarkStart w:id="3" w:name="_Toc181860162"/>
      <w:r>
        <w:t xml:space="preserve">Tabela </w:t>
      </w:r>
      <w:r w:rsidR="004D3018">
        <w:rPr>
          <w:noProof/>
        </w:rPr>
        <w:fldChar w:fldCharType="begin"/>
      </w:r>
      <w:r w:rsidR="004D3018">
        <w:rPr>
          <w:noProof/>
        </w:rPr>
        <w:instrText xml:space="preserve"> SEQ Tabela \* ARABIC </w:instrText>
      </w:r>
      <w:r w:rsidR="004D3018">
        <w:rPr>
          <w:noProof/>
        </w:rPr>
        <w:fldChar w:fldCharType="separate"/>
      </w:r>
      <w:r w:rsidR="003606AF">
        <w:rPr>
          <w:noProof/>
        </w:rPr>
        <w:t>1</w:t>
      </w:r>
      <w:r w:rsidR="004D3018">
        <w:rPr>
          <w:noProof/>
        </w:rPr>
        <w:fldChar w:fldCharType="end"/>
      </w:r>
      <w:r>
        <w:t xml:space="preserve"> </w:t>
      </w:r>
      <w:r w:rsidRPr="008505DB">
        <w:t>Wskaźniki funkcjonalne, społeczno-gospodarcze i morfologiczne przyjęte do delimitacji miejskich obszarów funkcjonalnych ośrodków wojewódzkich</w:t>
      </w:r>
      <w:bookmarkEnd w:id="3"/>
    </w:p>
    <w:tbl>
      <w:tblPr>
        <w:tblW w:w="9055" w:type="dxa"/>
        <w:tblInd w:w="108" w:type="dxa"/>
        <w:tblLayout w:type="fixed"/>
        <w:tblLook w:val="0000" w:firstRow="0" w:lastRow="0" w:firstColumn="0" w:lastColumn="0" w:noHBand="0" w:noVBand="0"/>
      </w:tblPr>
      <w:tblGrid>
        <w:gridCol w:w="743"/>
        <w:gridCol w:w="8312"/>
      </w:tblGrid>
      <w:tr w:rsidR="00884DD1" w:rsidRPr="00B27A13" w14:paraId="4C17B123" w14:textId="77777777" w:rsidTr="00A63813">
        <w:trPr>
          <w:trHeight w:val="567"/>
        </w:trPr>
        <w:tc>
          <w:tcPr>
            <w:tcW w:w="9055" w:type="dxa"/>
            <w:gridSpan w:val="2"/>
            <w:shd w:val="clear" w:color="auto" w:fill="E4E7E8" w:themeFill="accent4" w:themeFillTint="33"/>
            <w:vAlign w:val="center"/>
          </w:tcPr>
          <w:p w14:paraId="31595B7E" w14:textId="77777777" w:rsidR="00884DD1" w:rsidRPr="00B27A13" w:rsidRDefault="00884DD1" w:rsidP="00A63813">
            <w:pPr>
              <w:spacing w:after="0" w:line="240" w:lineRule="auto"/>
              <w:contextualSpacing/>
              <w:rPr>
                <w:rFonts w:cstheme="minorHAnsi"/>
                <w:sz w:val="20"/>
                <w:szCs w:val="20"/>
              </w:rPr>
            </w:pPr>
            <w:r w:rsidRPr="00B27A13">
              <w:rPr>
                <w:rFonts w:cstheme="minorHAnsi"/>
                <w:sz w:val="20"/>
                <w:szCs w:val="20"/>
              </w:rPr>
              <w:t>I. Wskaźniki funkcjonalne</w:t>
            </w:r>
          </w:p>
        </w:tc>
      </w:tr>
      <w:tr w:rsidR="00884DD1" w:rsidRPr="00B27A13" w14:paraId="62FB53B9" w14:textId="77777777" w:rsidTr="00A63813">
        <w:trPr>
          <w:trHeight w:val="567"/>
        </w:trPr>
        <w:tc>
          <w:tcPr>
            <w:tcW w:w="743" w:type="dxa"/>
            <w:tcBorders>
              <w:top w:val="single" w:sz="4" w:space="0" w:color="A6A6A6"/>
              <w:bottom w:val="single" w:sz="4" w:space="0" w:color="A6A6A6"/>
              <w:right w:val="single" w:sz="4" w:space="0" w:color="A6A6A6"/>
            </w:tcBorders>
            <w:shd w:val="clear" w:color="auto" w:fill="auto"/>
            <w:vAlign w:val="center"/>
          </w:tcPr>
          <w:p w14:paraId="43F366AE" w14:textId="77777777" w:rsidR="00884DD1" w:rsidRPr="00B27A13" w:rsidRDefault="00884DD1" w:rsidP="00A63813">
            <w:pPr>
              <w:spacing w:after="0" w:line="240" w:lineRule="auto"/>
              <w:contextualSpacing/>
              <w:jc w:val="center"/>
              <w:rPr>
                <w:rFonts w:cstheme="minorHAnsi"/>
                <w:sz w:val="20"/>
                <w:szCs w:val="20"/>
              </w:rPr>
            </w:pPr>
            <w:r w:rsidRPr="00B27A13">
              <w:rPr>
                <w:rFonts w:cstheme="minorHAnsi"/>
                <w:sz w:val="20"/>
                <w:szCs w:val="20"/>
              </w:rPr>
              <w:t>F1</w:t>
            </w:r>
          </w:p>
        </w:tc>
        <w:tc>
          <w:tcPr>
            <w:tcW w:w="8312" w:type="dxa"/>
            <w:tcBorders>
              <w:top w:val="single" w:sz="4" w:space="0" w:color="A6A6A6"/>
              <w:left w:val="single" w:sz="4" w:space="0" w:color="A6A6A6"/>
              <w:bottom w:val="single" w:sz="4" w:space="0" w:color="A6A6A6"/>
            </w:tcBorders>
            <w:shd w:val="clear" w:color="auto" w:fill="auto"/>
            <w:vAlign w:val="center"/>
          </w:tcPr>
          <w:p w14:paraId="6BB6E851" w14:textId="77777777" w:rsidR="00884DD1" w:rsidRPr="00B27A13" w:rsidRDefault="00884DD1" w:rsidP="00A63813">
            <w:pPr>
              <w:spacing w:after="0" w:line="240" w:lineRule="auto"/>
              <w:contextualSpacing/>
              <w:rPr>
                <w:rFonts w:cstheme="minorHAnsi"/>
                <w:sz w:val="20"/>
                <w:szCs w:val="20"/>
              </w:rPr>
            </w:pPr>
            <w:r w:rsidRPr="00B27A13">
              <w:rPr>
                <w:rFonts w:cstheme="minorHAnsi"/>
                <w:sz w:val="20"/>
                <w:szCs w:val="20"/>
              </w:rPr>
              <w:t xml:space="preserve">liczba wyjeżdżających do pracy najemnej do rdzenia MOF na 1000 mieszkańców w wieku produkcyjnym </w:t>
            </w:r>
            <w:r>
              <w:rPr>
                <w:rFonts w:cstheme="minorHAnsi"/>
                <w:sz w:val="20"/>
                <w:szCs w:val="20"/>
              </w:rPr>
              <w:t>(</w:t>
            </w:r>
            <w:r w:rsidRPr="00B27A13">
              <w:rPr>
                <w:rFonts w:cstheme="minorHAnsi"/>
                <w:sz w:val="20"/>
                <w:szCs w:val="20"/>
              </w:rPr>
              <w:t>powyżej 50</w:t>
            </w:r>
            <w:r>
              <w:rPr>
                <w:rFonts w:cstheme="minorHAnsi"/>
                <w:sz w:val="20"/>
                <w:szCs w:val="20"/>
              </w:rPr>
              <w:t>)</w:t>
            </w:r>
            <w:r w:rsidRPr="00B27A13">
              <w:rPr>
                <w:rFonts w:cstheme="minorHAnsi"/>
                <w:sz w:val="20"/>
                <w:szCs w:val="20"/>
              </w:rPr>
              <w:t xml:space="preserve"> </w:t>
            </w:r>
            <w:r>
              <w:rPr>
                <w:rFonts w:cstheme="minorHAnsi"/>
                <w:sz w:val="20"/>
                <w:szCs w:val="20"/>
              </w:rPr>
              <w:t>– 2016 r. i 2021</w:t>
            </w:r>
            <w:r>
              <w:rPr>
                <w:rStyle w:val="Odwoanieprzypisudolnego"/>
                <w:rFonts w:cstheme="minorHAnsi"/>
                <w:sz w:val="20"/>
                <w:szCs w:val="20"/>
              </w:rPr>
              <w:footnoteReference w:id="1"/>
            </w:r>
          </w:p>
        </w:tc>
      </w:tr>
      <w:tr w:rsidR="00884DD1" w:rsidRPr="00B27A13" w14:paraId="56C72D10" w14:textId="77777777" w:rsidTr="00A63813">
        <w:trPr>
          <w:trHeight w:val="567"/>
        </w:trPr>
        <w:tc>
          <w:tcPr>
            <w:tcW w:w="743" w:type="dxa"/>
            <w:tcBorders>
              <w:top w:val="single" w:sz="4" w:space="0" w:color="A6A6A6"/>
              <w:right w:val="single" w:sz="4" w:space="0" w:color="A6A6A6"/>
            </w:tcBorders>
            <w:shd w:val="clear" w:color="auto" w:fill="auto"/>
            <w:vAlign w:val="center"/>
          </w:tcPr>
          <w:p w14:paraId="5EC7DA6A" w14:textId="77777777" w:rsidR="00884DD1" w:rsidRPr="00B27A13" w:rsidRDefault="00884DD1" w:rsidP="00A63813">
            <w:pPr>
              <w:spacing w:after="0" w:line="240" w:lineRule="auto"/>
              <w:contextualSpacing/>
              <w:jc w:val="center"/>
              <w:rPr>
                <w:rFonts w:cstheme="minorHAnsi"/>
                <w:sz w:val="20"/>
                <w:szCs w:val="20"/>
              </w:rPr>
            </w:pPr>
            <w:r w:rsidRPr="00B27A13">
              <w:rPr>
                <w:rFonts w:cstheme="minorHAnsi"/>
                <w:sz w:val="20"/>
                <w:szCs w:val="20"/>
              </w:rPr>
              <w:t>F2</w:t>
            </w:r>
          </w:p>
        </w:tc>
        <w:tc>
          <w:tcPr>
            <w:tcW w:w="8312" w:type="dxa"/>
            <w:tcBorders>
              <w:top w:val="single" w:sz="4" w:space="0" w:color="A6A6A6"/>
              <w:left w:val="single" w:sz="4" w:space="0" w:color="A6A6A6"/>
            </w:tcBorders>
            <w:shd w:val="clear" w:color="auto" w:fill="auto"/>
            <w:vAlign w:val="center"/>
          </w:tcPr>
          <w:p w14:paraId="3412F82A" w14:textId="77777777" w:rsidR="00884DD1" w:rsidRPr="00B27A13" w:rsidRDefault="00884DD1" w:rsidP="00A63813">
            <w:pPr>
              <w:spacing w:after="0" w:line="240" w:lineRule="auto"/>
              <w:contextualSpacing/>
              <w:rPr>
                <w:rFonts w:cstheme="minorHAnsi"/>
                <w:sz w:val="20"/>
                <w:szCs w:val="20"/>
              </w:rPr>
            </w:pPr>
            <w:r w:rsidRPr="00B27A13">
              <w:rPr>
                <w:rFonts w:cstheme="minorHAnsi"/>
                <w:sz w:val="20"/>
                <w:szCs w:val="20"/>
              </w:rPr>
              <w:t xml:space="preserve">liczba zameldowań z rdzenia MOF na 1000 mieszkańców </w:t>
            </w:r>
            <w:r>
              <w:rPr>
                <w:rFonts w:cstheme="minorHAnsi"/>
                <w:sz w:val="20"/>
                <w:szCs w:val="20"/>
              </w:rPr>
              <w:t>(</w:t>
            </w:r>
            <w:r w:rsidRPr="00B27A13">
              <w:rPr>
                <w:rFonts w:cstheme="minorHAnsi"/>
                <w:sz w:val="20"/>
                <w:szCs w:val="20"/>
              </w:rPr>
              <w:t>powyżej 3</w:t>
            </w:r>
            <w:r>
              <w:rPr>
                <w:rFonts w:cstheme="minorHAnsi"/>
                <w:sz w:val="20"/>
                <w:szCs w:val="20"/>
              </w:rPr>
              <w:t>) – 2014 r. i 2023 r.</w:t>
            </w:r>
          </w:p>
        </w:tc>
      </w:tr>
      <w:tr w:rsidR="00884DD1" w:rsidRPr="00B27A13" w14:paraId="742975E6" w14:textId="77777777" w:rsidTr="00A63813">
        <w:trPr>
          <w:trHeight w:val="567"/>
        </w:trPr>
        <w:tc>
          <w:tcPr>
            <w:tcW w:w="9055" w:type="dxa"/>
            <w:gridSpan w:val="2"/>
            <w:shd w:val="clear" w:color="auto" w:fill="E4E7E8" w:themeFill="accent4" w:themeFillTint="33"/>
            <w:vAlign w:val="center"/>
          </w:tcPr>
          <w:p w14:paraId="3218956E" w14:textId="77777777" w:rsidR="00884DD1" w:rsidRPr="00B27A13" w:rsidRDefault="00884DD1" w:rsidP="00A63813">
            <w:pPr>
              <w:spacing w:after="0" w:line="240" w:lineRule="auto"/>
              <w:contextualSpacing/>
              <w:rPr>
                <w:rFonts w:cstheme="minorHAnsi"/>
                <w:sz w:val="20"/>
                <w:szCs w:val="20"/>
              </w:rPr>
            </w:pPr>
            <w:r w:rsidRPr="00B27A13">
              <w:rPr>
                <w:rFonts w:cstheme="minorHAnsi"/>
                <w:sz w:val="20"/>
                <w:szCs w:val="20"/>
              </w:rPr>
              <w:t>II. Wskaźniki społeczno-gospodarcze</w:t>
            </w:r>
          </w:p>
        </w:tc>
      </w:tr>
      <w:tr w:rsidR="00884DD1" w:rsidRPr="00B27A13" w14:paraId="5F35B2FC" w14:textId="77777777" w:rsidTr="00A63813">
        <w:trPr>
          <w:trHeight w:val="567"/>
        </w:trPr>
        <w:tc>
          <w:tcPr>
            <w:tcW w:w="743" w:type="dxa"/>
            <w:tcBorders>
              <w:top w:val="single" w:sz="4" w:space="0" w:color="A6A6A6"/>
              <w:bottom w:val="single" w:sz="4" w:space="0" w:color="A6A6A6"/>
              <w:right w:val="single" w:sz="4" w:space="0" w:color="A6A6A6"/>
            </w:tcBorders>
            <w:shd w:val="clear" w:color="auto" w:fill="auto"/>
            <w:vAlign w:val="center"/>
          </w:tcPr>
          <w:p w14:paraId="759CE9B2" w14:textId="77777777" w:rsidR="00884DD1" w:rsidRPr="00B27A13" w:rsidRDefault="00884DD1" w:rsidP="00A63813">
            <w:pPr>
              <w:spacing w:after="0" w:line="240" w:lineRule="auto"/>
              <w:contextualSpacing/>
              <w:jc w:val="center"/>
              <w:rPr>
                <w:rFonts w:cstheme="minorHAnsi"/>
                <w:sz w:val="20"/>
                <w:szCs w:val="20"/>
              </w:rPr>
            </w:pPr>
            <w:r w:rsidRPr="00B27A13">
              <w:rPr>
                <w:rFonts w:cstheme="minorHAnsi"/>
                <w:sz w:val="20"/>
                <w:szCs w:val="20"/>
              </w:rPr>
              <w:t>S1</w:t>
            </w:r>
          </w:p>
        </w:tc>
        <w:tc>
          <w:tcPr>
            <w:tcW w:w="8312" w:type="dxa"/>
            <w:tcBorders>
              <w:top w:val="single" w:sz="4" w:space="0" w:color="A6A6A6"/>
              <w:left w:val="single" w:sz="4" w:space="0" w:color="A6A6A6"/>
              <w:bottom w:val="single" w:sz="4" w:space="0" w:color="A6A6A6"/>
            </w:tcBorders>
            <w:shd w:val="clear" w:color="auto" w:fill="auto"/>
            <w:vAlign w:val="center"/>
          </w:tcPr>
          <w:p w14:paraId="1FBE364C" w14:textId="77777777" w:rsidR="00884DD1" w:rsidRPr="00B27A13" w:rsidRDefault="00884DD1" w:rsidP="00A63813">
            <w:pPr>
              <w:spacing w:after="0" w:line="240" w:lineRule="auto"/>
              <w:contextualSpacing/>
              <w:rPr>
                <w:rFonts w:cstheme="minorHAnsi"/>
                <w:sz w:val="20"/>
                <w:szCs w:val="20"/>
              </w:rPr>
            </w:pPr>
            <w:r w:rsidRPr="00B27A13">
              <w:rPr>
                <w:rFonts w:cstheme="minorHAnsi"/>
                <w:sz w:val="20"/>
                <w:szCs w:val="20"/>
              </w:rPr>
              <w:t xml:space="preserve">udział pracujących w zawodach pozarolniczych jako stosunek do średniej wojewódzkiej </w:t>
            </w:r>
            <w:r>
              <w:rPr>
                <w:rFonts w:cstheme="minorHAnsi"/>
                <w:sz w:val="20"/>
                <w:szCs w:val="20"/>
              </w:rPr>
              <w:t>(</w:t>
            </w:r>
            <w:r w:rsidRPr="00B27A13">
              <w:rPr>
                <w:rFonts w:cstheme="minorHAnsi"/>
                <w:sz w:val="20"/>
                <w:szCs w:val="20"/>
              </w:rPr>
              <w:t>powyżej 75%</w:t>
            </w:r>
            <w:r>
              <w:rPr>
                <w:rFonts w:cstheme="minorHAnsi"/>
                <w:sz w:val="20"/>
                <w:szCs w:val="20"/>
              </w:rPr>
              <w:t>)</w:t>
            </w:r>
            <w:r>
              <w:rPr>
                <w:rStyle w:val="Odwoanieprzypisudolnego"/>
                <w:rFonts w:cstheme="minorHAnsi"/>
                <w:sz w:val="20"/>
                <w:szCs w:val="20"/>
              </w:rPr>
              <w:footnoteReference w:id="2"/>
            </w:r>
            <w:r w:rsidRPr="00B27A13">
              <w:rPr>
                <w:rFonts w:cstheme="minorHAnsi"/>
                <w:sz w:val="20"/>
                <w:szCs w:val="20"/>
              </w:rPr>
              <w:t xml:space="preserve"> </w:t>
            </w:r>
            <w:r>
              <w:rPr>
                <w:rFonts w:cstheme="minorHAnsi"/>
                <w:sz w:val="20"/>
                <w:szCs w:val="20"/>
              </w:rPr>
              <w:t>- 2003 r. i 2023 r.</w:t>
            </w:r>
          </w:p>
        </w:tc>
      </w:tr>
      <w:tr w:rsidR="00884DD1" w:rsidRPr="00B27A13" w14:paraId="147C2F5B" w14:textId="77777777" w:rsidTr="00A63813">
        <w:trPr>
          <w:trHeight w:val="567"/>
        </w:trPr>
        <w:tc>
          <w:tcPr>
            <w:tcW w:w="743" w:type="dxa"/>
            <w:tcBorders>
              <w:top w:val="single" w:sz="4" w:space="0" w:color="A6A6A6"/>
              <w:right w:val="single" w:sz="4" w:space="0" w:color="A6A6A6"/>
            </w:tcBorders>
            <w:shd w:val="clear" w:color="auto" w:fill="auto"/>
            <w:vAlign w:val="center"/>
          </w:tcPr>
          <w:p w14:paraId="2A206249" w14:textId="77777777" w:rsidR="00884DD1" w:rsidRPr="00B27A13" w:rsidRDefault="00884DD1" w:rsidP="00A63813">
            <w:pPr>
              <w:spacing w:after="0" w:line="240" w:lineRule="auto"/>
              <w:contextualSpacing/>
              <w:jc w:val="center"/>
              <w:rPr>
                <w:rFonts w:cstheme="minorHAnsi"/>
                <w:sz w:val="20"/>
                <w:szCs w:val="20"/>
              </w:rPr>
            </w:pPr>
            <w:r w:rsidRPr="00B27A13">
              <w:rPr>
                <w:rFonts w:cstheme="minorHAnsi"/>
                <w:sz w:val="20"/>
                <w:szCs w:val="20"/>
              </w:rPr>
              <w:t>S2</w:t>
            </w:r>
          </w:p>
        </w:tc>
        <w:tc>
          <w:tcPr>
            <w:tcW w:w="8312" w:type="dxa"/>
            <w:tcBorders>
              <w:top w:val="single" w:sz="4" w:space="0" w:color="A6A6A6"/>
              <w:left w:val="single" w:sz="4" w:space="0" w:color="A6A6A6"/>
            </w:tcBorders>
            <w:shd w:val="clear" w:color="auto" w:fill="auto"/>
            <w:vAlign w:val="center"/>
          </w:tcPr>
          <w:p w14:paraId="37676436" w14:textId="77777777" w:rsidR="00884DD1" w:rsidRPr="00B27A13" w:rsidRDefault="00884DD1" w:rsidP="00A63813">
            <w:pPr>
              <w:spacing w:after="0" w:line="240" w:lineRule="auto"/>
              <w:contextualSpacing/>
              <w:rPr>
                <w:rFonts w:cstheme="minorHAnsi"/>
                <w:sz w:val="20"/>
                <w:szCs w:val="20"/>
              </w:rPr>
            </w:pPr>
            <w:r w:rsidRPr="00B27A13">
              <w:rPr>
                <w:rFonts w:cstheme="minorHAnsi"/>
                <w:sz w:val="20"/>
                <w:szCs w:val="20"/>
              </w:rPr>
              <w:t>liczba podmiotów gospodarczych na 1</w:t>
            </w:r>
            <w:r>
              <w:rPr>
                <w:rFonts w:cstheme="minorHAnsi"/>
                <w:sz w:val="20"/>
                <w:szCs w:val="20"/>
              </w:rPr>
              <w:t>0</w:t>
            </w:r>
            <w:r w:rsidRPr="00B27A13">
              <w:rPr>
                <w:rFonts w:cstheme="minorHAnsi"/>
                <w:sz w:val="20"/>
                <w:szCs w:val="20"/>
              </w:rPr>
              <w:t xml:space="preserve">00 mieszkańców jako stosunek do średniej wojewódzkiej </w:t>
            </w:r>
            <w:r>
              <w:rPr>
                <w:rFonts w:cstheme="minorHAnsi"/>
                <w:sz w:val="20"/>
                <w:szCs w:val="20"/>
              </w:rPr>
              <w:t>(</w:t>
            </w:r>
            <w:r w:rsidRPr="00B27A13">
              <w:rPr>
                <w:rFonts w:cstheme="minorHAnsi"/>
                <w:sz w:val="20"/>
                <w:szCs w:val="20"/>
              </w:rPr>
              <w:t>powyżej 75%</w:t>
            </w:r>
            <w:r>
              <w:rPr>
                <w:rFonts w:cstheme="minorHAnsi"/>
                <w:sz w:val="20"/>
                <w:szCs w:val="20"/>
              </w:rPr>
              <w:t>)</w:t>
            </w:r>
            <w:r w:rsidRPr="00B27A13">
              <w:rPr>
                <w:rFonts w:cstheme="minorHAnsi"/>
                <w:sz w:val="20"/>
                <w:szCs w:val="20"/>
              </w:rPr>
              <w:t xml:space="preserve"> </w:t>
            </w:r>
            <w:r>
              <w:rPr>
                <w:rFonts w:cstheme="minorHAnsi"/>
                <w:sz w:val="20"/>
                <w:szCs w:val="20"/>
              </w:rPr>
              <w:t>- 2014 r. i 2023 r.</w:t>
            </w:r>
          </w:p>
        </w:tc>
      </w:tr>
      <w:tr w:rsidR="00884DD1" w:rsidRPr="00B27A13" w14:paraId="415C9338" w14:textId="77777777" w:rsidTr="00A63813">
        <w:trPr>
          <w:trHeight w:val="567"/>
        </w:trPr>
        <w:tc>
          <w:tcPr>
            <w:tcW w:w="743" w:type="dxa"/>
            <w:tcBorders>
              <w:top w:val="single" w:sz="4" w:space="0" w:color="A6A6A6"/>
              <w:right w:val="single" w:sz="4" w:space="0" w:color="A6A6A6"/>
            </w:tcBorders>
            <w:shd w:val="clear" w:color="auto" w:fill="auto"/>
            <w:vAlign w:val="center"/>
          </w:tcPr>
          <w:p w14:paraId="7B317153" w14:textId="77777777" w:rsidR="00884DD1" w:rsidRPr="00B27A13" w:rsidRDefault="00884DD1" w:rsidP="00A63813">
            <w:pPr>
              <w:spacing w:after="0" w:line="240" w:lineRule="auto"/>
              <w:contextualSpacing/>
              <w:jc w:val="center"/>
              <w:rPr>
                <w:rFonts w:cstheme="minorHAnsi"/>
                <w:sz w:val="20"/>
                <w:szCs w:val="20"/>
              </w:rPr>
            </w:pPr>
            <w:r w:rsidRPr="00B27A13">
              <w:rPr>
                <w:rFonts w:cstheme="minorHAnsi"/>
                <w:sz w:val="20"/>
                <w:szCs w:val="20"/>
              </w:rPr>
              <w:t>S3</w:t>
            </w:r>
          </w:p>
        </w:tc>
        <w:tc>
          <w:tcPr>
            <w:tcW w:w="8312" w:type="dxa"/>
            <w:tcBorders>
              <w:top w:val="single" w:sz="4" w:space="0" w:color="A6A6A6"/>
              <w:left w:val="single" w:sz="4" w:space="0" w:color="A6A6A6"/>
            </w:tcBorders>
            <w:shd w:val="clear" w:color="auto" w:fill="auto"/>
            <w:vAlign w:val="center"/>
          </w:tcPr>
          <w:p w14:paraId="32D570FE" w14:textId="77777777" w:rsidR="00884DD1" w:rsidRPr="00B27A13" w:rsidRDefault="00884DD1" w:rsidP="00A63813">
            <w:pPr>
              <w:spacing w:after="0" w:line="240" w:lineRule="auto"/>
              <w:contextualSpacing/>
              <w:rPr>
                <w:rFonts w:cstheme="minorHAnsi"/>
                <w:sz w:val="20"/>
                <w:szCs w:val="20"/>
              </w:rPr>
            </w:pPr>
            <w:r w:rsidRPr="00B27A13">
              <w:rPr>
                <w:rFonts w:cstheme="minorHAnsi"/>
                <w:sz w:val="20"/>
                <w:szCs w:val="20"/>
              </w:rPr>
              <w:t xml:space="preserve">udział podmiotów gospodarczych w usługach wyższego rzędu (sekcje J-R) jako stosunek do analogicznego wskaźnika obliczonego dla rdzenia MOF </w:t>
            </w:r>
            <w:r>
              <w:rPr>
                <w:rFonts w:cstheme="minorHAnsi"/>
                <w:sz w:val="20"/>
                <w:szCs w:val="20"/>
              </w:rPr>
              <w:t>(</w:t>
            </w:r>
            <w:r w:rsidRPr="00B27A13">
              <w:rPr>
                <w:rFonts w:cstheme="minorHAnsi"/>
                <w:sz w:val="20"/>
                <w:szCs w:val="20"/>
              </w:rPr>
              <w:t>powyżej 50%</w:t>
            </w:r>
            <w:r>
              <w:rPr>
                <w:rFonts w:cstheme="minorHAnsi"/>
                <w:sz w:val="20"/>
                <w:szCs w:val="20"/>
              </w:rPr>
              <w:t>)</w:t>
            </w:r>
            <w:r w:rsidRPr="00B27A13">
              <w:rPr>
                <w:rFonts w:cstheme="minorHAnsi"/>
                <w:sz w:val="20"/>
                <w:szCs w:val="20"/>
              </w:rPr>
              <w:t xml:space="preserve"> </w:t>
            </w:r>
            <w:r>
              <w:rPr>
                <w:rFonts w:cstheme="minorHAnsi"/>
                <w:sz w:val="20"/>
                <w:szCs w:val="20"/>
              </w:rPr>
              <w:t>- 2014 r. i 2023 r.</w:t>
            </w:r>
          </w:p>
        </w:tc>
      </w:tr>
      <w:tr w:rsidR="00884DD1" w:rsidRPr="00B27A13" w14:paraId="70A5E8B3" w14:textId="77777777" w:rsidTr="00A63813">
        <w:trPr>
          <w:trHeight w:val="567"/>
        </w:trPr>
        <w:tc>
          <w:tcPr>
            <w:tcW w:w="9055" w:type="dxa"/>
            <w:gridSpan w:val="2"/>
            <w:shd w:val="clear" w:color="auto" w:fill="E4E7E8" w:themeFill="accent4" w:themeFillTint="33"/>
            <w:vAlign w:val="center"/>
          </w:tcPr>
          <w:p w14:paraId="1788A81C" w14:textId="77777777" w:rsidR="00884DD1" w:rsidRPr="00B27A13" w:rsidRDefault="00884DD1" w:rsidP="00A63813">
            <w:pPr>
              <w:spacing w:after="0" w:line="240" w:lineRule="auto"/>
              <w:contextualSpacing/>
              <w:rPr>
                <w:rFonts w:cstheme="minorHAnsi"/>
                <w:sz w:val="20"/>
                <w:szCs w:val="20"/>
              </w:rPr>
            </w:pPr>
            <w:r w:rsidRPr="00B27A13">
              <w:rPr>
                <w:rFonts w:cstheme="minorHAnsi"/>
                <w:sz w:val="20"/>
                <w:szCs w:val="20"/>
              </w:rPr>
              <w:t xml:space="preserve">III. Wskaźniki morfologiczne </w:t>
            </w:r>
          </w:p>
        </w:tc>
      </w:tr>
      <w:tr w:rsidR="00884DD1" w:rsidRPr="00B27A13" w14:paraId="7939E275" w14:textId="77777777" w:rsidTr="00A63813">
        <w:trPr>
          <w:trHeight w:val="567"/>
        </w:trPr>
        <w:tc>
          <w:tcPr>
            <w:tcW w:w="743" w:type="dxa"/>
            <w:tcBorders>
              <w:top w:val="single" w:sz="4" w:space="0" w:color="A6A6A6"/>
              <w:bottom w:val="single" w:sz="4" w:space="0" w:color="A6A6A6"/>
              <w:right w:val="single" w:sz="4" w:space="0" w:color="A6A6A6"/>
            </w:tcBorders>
            <w:shd w:val="clear" w:color="auto" w:fill="auto"/>
            <w:vAlign w:val="center"/>
          </w:tcPr>
          <w:p w14:paraId="27DD1384" w14:textId="77777777" w:rsidR="00884DD1" w:rsidRPr="00B27A13" w:rsidRDefault="00884DD1" w:rsidP="00A63813">
            <w:pPr>
              <w:spacing w:after="0" w:line="240" w:lineRule="auto"/>
              <w:contextualSpacing/>
              <w:jc w:val="center"/>
              <w:rPr>
                <w:rFonts w:cstheme="minorHAnsi"/>
                <w:sz w:val="20"/>
                <w:szCs w:val="20"/>
              </w:rPr>
            </w:pPr>
            <w:r w:rsidRPr="00B27A13">
              <w:rPr>
                <w:rFonts w:cstheme="minorHAnsi"/>
                <w:sz w:val="20"/>
                <w:szCs w:val="20"/>
              </w:rPr>
              <w:t>M1</w:t>
            </w:r>
          </w:p>
        </w:tc>
        <w:tc>
          <w:tcPr>
            <w:tcW w:w="8312" w:type="dxa"/>
            <w:tcBorders>
              <w:top w:val="single" w:sz="4" w:space="0" w:color="A6A6A6"/>
              <w:left w:val="single" w:sz="4" w:space="0" w:color="A6A6A6"/>
              <w:bottom w:val="single" w:sz="4" w:space="0" w:color="A6A6A6"/>
            </w:tcBorders>
            <w:shd w:val="clear" w:color="auto" w:fill="auto"/>
            <w:vAlign w:val="center"/>
          </w:tcPr>
          <w:p w14:paraId="6742656D" w14:textId="77777777" w:rsidR="00884DD1" w:rsidRPr="00B27A13" w:rsidRDefault="00884DD1" w:rsidP="00A63813">
            <w:pPr>
              <w:spacing w:after="0" w:line="240" w:lineRule="auto"/>
              <w:contextualSpacing/>
              <w:rPr>
                <w:rFonts w:cstheme="minorHAnsi"/>
                <w:sz w:val="20"/>
                <w:szCs w:val="20"/>
              </w:rPr>
            </w:pPr>
            <w:r w:rsidRPr="00B27A13">
              <w:rPr>
                <w:rFonts w:cstheme="minorHAnsi"/>
                <w:sz w:val="20"/>
                <w:szCs w:val="20"/>
              </w:rPr>
              <w:t xml:space="preserve">gęstość zaludnienia (bez lasów i wód) w stosunku do średniej wojewódzkiej </w:t>
            </w:r>
            <w:r>
              <w:rPr>
                <w:rFonts w:cstheme="minorHAnsi"/>
                <w:sz w:val="20"/>
                <w:szCs w:val="20"/>
              </w:rPr>
              <w:t>(</w:t>
            </w:r>
            <w:r w:rsidRPr="00B27A13">
              <w:rPr>
                <w:rFonts w:cstheme="minorHAnsi"/>
                <w:sz w:val="20"/>
                <w:szCs w:val="20"/>
              </w:rPr>
              <w:t>powyżej 50%</w:t>
            </w:r>
            <w:r>
              <w:rPr>
                <w:rFonts w:cstheme="minorHAnsi"/>
                <w:sz w:val="20"/>
                <w:szCs w:val="20"/>
              </w:rPr>
              <w:t>)</w:t>
            </w:r>
            <w:r w:rsidRPr="00B27A13">
              <w:rPr>
                <w:rFonts w:cstheme="minorHAnsi"/>
                <w:sz w:val="20"/>
                <w:szCs w:val="20"/>
              </w:rPr>
              <w:t xml:space="preserve"> </w:t>
            </w:r>
            <w:r>
              <w:rPr>
                <w:rFonts w:cstheme="minorHAnsi"/>
                <w:sz w:val="20"/>
                <w:szCs w:val="20"/>
              </w:rPr>
              <w:t>- 2014 r. i 2023 r.</w:t>
            </w:r>
            <w:r>
              <w:rPr>
                <w:rStyle w:val="Odwoanieprzypisudolnego"/>
                <w:rFonts w:cstheme="minorHAnsi"/>
                <w:sz w:val="20"/>
                <w:szCs w:val="20"/>
              </w:rPr>
              <w:footnoteReference w:id="3"/>
            </w:r>
          </w:p>
        </w:tc>
      </w:tr>
      <w:tr w:rsidR="00884DD1" w:rsidRPr="00B27A13" w14:paraId="01057323" w14:textId="77777777" w:rsidTr="00A63813">
        <w:trPr>
          <w:trHeight w:val="567"/>
        </w:trPr>
        <w:tc>
          <w:tcPr>
            <w:tcW w:w="743" w:type="dxa"/>
            <w:tcBorders>
              <w:top w:val="single" w:sz="4" w:space="0" w:color="A6A6A6"/>
              <w:bottom w:val="single" w:sz="4" w:space="0" w:color="A6A6A6"/>
              <w:right w:val="single" w:sz="4" w:space="0" w:color="A6A6A6"/>
            </w:tcBorders>
            <w:shd w:val="clear" w:color="auto" w:fill="auto"/>
            <w:vAlign w:val="center"/>
          </w:tcPr>
          <w:p w14:paraId="3CB196DE" w14:textId="77777777" w:rsidR="00884DD1" w:rsidRPr="00B27A13" w:rsidRDefault="00884DD1" w:rsidP="00A63813">
            <w:pPr>
              <w:spacing w:after="0" w:line="240" w:lineRule="auto"/>
              <w:contextualSpacing/>
              <w:jc w:val="center"/>
              <w:rPr>
                <w:rFonts w:cstheme="minorHAnsi"/>
                <w:sz w:val="20"/>
                <w:szCs w:val="20"/>
              </w:rPr>
            </w:pPr>
            <w:r w:rsidRPr="00B27A13">
              <w:rPr>
                <w:rFonts w:cstheme="minorHAnsi"/>
                <w:sz w:val="20"/>
                <w:szCs w:val="20"/>
              </w:rPr>
              <w:t>M2</w:t>
            </w:r>
          </w:p>
        </w:tc>
        <w:tc>
          <w:tcPr>
            <w:tcW w:w="8312" w:type="dxa"/>
            <w:tcBorders>
              <w:top w:val="single" w:sz="4" w:space="0" w:color="A6A6A6"/>
              <w:left w:val="single" w:sz="4" w:space="0" w:color="A6A6A6"/>
              <w:bottom w:val="single" w:sz="4" w:space="0" w:color="A6A6A6"/>
            </w:tcBorders>
            <w:shd w:val="clear" w:color="auto" w:fill="auto"/>
            <w:vAlign w:val="center"/>
          </w:tcPr>
          <w:p w14:paraId="03F59FF0" w14:textId="77777777" w:rsidR="00884DD1" w:rsidRPr="00B27A13" w:rsidRDefault="00884DD1" w:rsidP="00A63813">
            <w:pPr>
              <w:keepNext/>
              <w:spacing w:after="0" w:line="240" w:lineRule="auto"/>
              <w:contextualSpacing/>
              <w:rPr>
                <w:rFonts w:cstheme="minorHAnsi"/>
                <w:sz w:val="20"/>
                <w:szCs w:val="20"/>
              </w:rPr>
            </w:pPr>
            <w:r w:rsidRPr="00B27A13">
              <w:rPr>
                <w:rFonts w:cstheme="minorHAnsi"/>
                <w:sz w:val="20"/>
                <w:szCs w:val="20"/>
              </w:rPr>
              <w:t>liczba mieszkań oddanych do użytku na 1000 mieszkańców w latach 200</w:t>
            </w:r>
            <w:r>
              <w:rPr>
                <w:rFonts w:cstheme="minorHAnsi"/>
                <w:sz w:val="20"/>
                <w:szCs w:val="20"/>
              </w:rPr>
              <w:t>4</w:t>
            </w:r>
            <w:r w:rsidRPr="00B27A13">
              <w:rPr>
                <w:rFonts w:cstheme="minorHAnsi"/>
                <w:sz w:val="20"/>
                <w:szCs w:val="20"/>
              </w:rPr>
              <w:t>-201</w:t>
            </w:r>
            <w:r>
              <w:rPr>
                <w:rFonts w:cstheme="minorHAnsi"/>
                <w:sz w:val="20"/>
                <w:szCs w:val="20"/>
              </w:rPr>
              <w:t>3</w:t>
            </w:r>
            <w:r w:rsidRPr="00B27A13">
              <w:rPr>
                <w:rFonts w:cstheme="minorHAnsi"/>
                <w:sz w:val="20"/>
                <w:szCs w:val="20"/>
              </w:rPr>
              <w:t xml:space="preserve"> </w:t>
            </w:r>
            <w:r>
              <w:rPr>
                <w:rFonts w:cstheme="minorHAnsi"/>
                <w:sz w:val="20"/>
                <w:szCs w:val="20"/>
              </w:rPr>
              <w:t xml:space="preserve">oraz w latach 2014-2023 </w:t>
            </w:r>
            <w:r w:rsidRPr="00B27A13">
              <w:rPr>
                <w:rFonts w:cstheme="minorHAnsi"/>
                <w:sz w:val="20"/>
                <w:szCs w:val="20"/>
              </w:rPr>
              <w:t xml:space="preserve">w stosunku do średniej wojewódzkiej </w:t>
            </w:r>
            <w:r>
              <w:rPr>
                <w:rFonts w:cstheme="minorHAnsi"/>
                <w:sz w:val="20"/>
                <w:szCs w:val="20"/>
              </w:rPr>
              <w:t>(</w:t>
            </w:r>
            <w:r w:rsidRPr="00B27A13">
              <w:rPr>
                <w:rFonts w:cstheme="minorHAnsi"/>
                <w:sz w:val="20"/>
                <w:szCs w:val="20"/>
              </w:rPr>
              <w:t>powyżej 75%</w:t>
            </w:r>
            <w:r>
              <w:rPr>
                <w:rFonts w:cstheme="minorHAnsi"/>
                <w:sz w:val="20"/>
                <w:szCs w:val="20"/>
              </w:rPr>
              <w:t>) w 2013 i 2023 r.</w:t>
            </w:r>
          </w:p>
        </w:tc>
      </w:tr>
    </w:tbl>
    <w:p w14:paraId="491EBAFD" w14:textId="77777777" w:rsidR="00884DD1" w:rsidRDefault="00884DD1" w:rsidP="00884DD1">
      <w:pPr>
        <w:pStyle w:val="Legenda"/>
        <w:jc w:val="both"/>
      </w:pPr>
      <w:r>
        <w:t xml:space="preserve">Źródło: opracowanie na podstawie </w:t>
      </w:r>
      <w:r w:rsidRPr="008505DB">
        <w:t>Delimitacj</w:t>
      </w:r>
      <w:r>
        <w:t>i</w:t>
      </w:r>
      <w:r w:rsidRPr="008505DB">
        <w:t xml:space="preserve"> Miejskich Obszarów Funkcjonalnych stolic województw, Przemysław Śleszyński, Przegląd Geograficzny (2013) tom 85, zeszyt 2, str. 173-197.</w:t>
      </w:r>
    </w:p>
    <w:p w14:paraId="3AF85B5F" w14:textId="54C24D3F" w:rsidR="00884DD1" w:rsidRDefault="00884DD1" w:rsidP="00884DD1">
      <w:pPr>
        <w:spacing w:line="360" w:lineRule="auto"/>
        <w:jc w:val="both"/>
      </w:pPr>
      <w:r>
        <w:t xml:space="preserve">Powyższe wskaźniki zostały przyjęte jako narzędzie do wyznaczania </w:t>
      </w:r>
      <w:r w:rsidRPr="008505DB">
        <w:t xml:space="preserve">miejskich obszarów funkcjonalnych miast wojewódzkich stosowanym m.in. przez Ministerstwo Funduszy i Polityki Regionalnej przy tworzeniu polityk rozwojowych na poziomie krajowym. </w:t>
      </w:r>
      <w:r>
        <w:t xml:space="preserve">Należy podkreślić, że </w:t>
      </w:r>
      <w:r w:rsidRPr="00FA5895">
        <w:t xml:space="preserve">miasta wojewódzkie wykazują naturalnie znacznie większe powiązanie z gminami sąsiadującymi i tym samym wyższy poziom wskaźników. W związku z powyższym w procesie delimitacji obszaru funkcjonalnego </w:t>
      </w:r>
      <w:r>
        <w:t>Olkusza przyjęto</w:t>
      </w:r>
      <w:r w:rsidRPr="00FA5895">
        <w:t xml:space="preserve"> niższe wymagania dotyczące wyznaczania powiązanych gmin. Warunkiem zaliczenia poszczególnych gmin do obszaru funkcjonalnego miasta wojewódzki</w:t>
      </w:r>
      <w:r w:rsidR="0036331E">
        <w:t>ego było spełnienie minimum 6 </w:t>
      </w:r>
      <w:r>
        <w:t>z </w:t>
      </w:r>
      <w:r w:rsidR="0036331E">
        <w:t>7 </w:t>
      </w:r>
      <w:r w:rsidRPr="00FA5895">
        <w:t>ustalonych kryteriów. Na poziomie przedmiotowej analizy uznano za wystarczający poziom:</w:t>
      </w:r>
    </w:p>
    <w:p w14:paraId="64D61A2F" w14:textId="77777777" w:rsidR="00884DD1" w:rsidRDefault="00884DD1" w:rsidP="00884DD1">
      <w:pPr>
        <w:pStyle w:val="Akapitzlist"/>
        <w:numPr>
          <w:ilvl w:val="0"/>
          <w:numId w:val="9"/>
        </w:numPr>
        <w:spacing w:line="360" w:lineRule="auto"/>
        <w:jc w:val="both"/>
      </w:pPr>
      <w:r>
        <w:t>spełnienie przynajmniej 3 z 7 kryterium;</w:t>
      </w:r>
    </w:p>
    <w:p w14:paraId="04B772A4" w14:textId="77777777" w:rsidR="00884DD1" w:rsidRDefault="00884DD1" w:rsidP="00884DD1">
      <w:pPr>
        <w:pStyle w:val="Akapitzlist"/>
        <w:numPr>
          <w:ilvl w:val="0"/>
          <w:numId w:val="9"/>
        </w:numPr>
        <w:spacing w:line="360" w:lineRule="auto"/>
        <w:jc w:val="both"/>
      </w:pPr>
      <w:r>
        <w:t xml:space="preserve">wykazywanie przez przynajmniej 3 z 7 wskaźników (innych niż w punkt 1) tendencji rosnącej (systematyczny wzrost powiązań gminy obserwowany w analizowanym czasie). </w:t>
      </w:r>
    </w:p>
    <w:p w14:paraId="0CB5B0D5" w14:textId="77777777" w:rsidR="00884DD1" w:rsidRDefault="00884DD1" w:rsidP="00884DD1">
      <w:pPr>
        <w:spacing w:line="360" w:lineRule="auto"/>
        <w:jc w:val="both"/>
      </w:pPr>
      <w:r w:rsidRPr="00487498">
        <w:t>Tym samym, podobnie jak w przypadku miast wojewódzkich, gmina powiązana w ramach obszaru funkcjonalnego musi spełnić 6 kryteriów z 7. Przyjęto jedynie różny poziom ich natężenia.</w:t>
      </w:r>
    </w:p>
    <w:p w14:paraId="314D9826" w14:textId="4FAB9540" w:rsidR="00884DD1" w:rsidRDefault="00884DD1" w:rsidP="00884DD1">
      <w:pPr>
        <w:spacing w:line="360" w:lineRule="auto"/>
        <w:jc w:val="both"/>
        <w:sectPr w:rsidR="00884DD1" w:rsidSect="00A22821">
          <w:headerReference w:type="even" r:id="rId10"/>
          <w:headerReference w:type="default" r:id="rId11"/>
          <w:footerReference w:type="even" r:id="rId12"/>
          <w:footerReference w:type="default" r:id="rId13"/>
          <w:pgSz w:w="11906" w:h="16838"/>
          <w:pgMar w:top="1417" w:right="1417" w:bottom="1417" w:left="1417" w:header="708" w:footer="708" w:gutter="0"/>
          <w:cols w:space="708"/>
          <w:titlePg/>
          <w:docGrid w:linePitch="360"/>
        </w:sectPr>
      </w:pPr>
      <w:r>
        <w:t xml:space="preserve">Do obszaru analizy zaliczono Gminę Olkusz, będącą gminą miejsko-wiejską oraz Gminę Klucze i Gminę Bolesław, które sąsiadują z Gminą Olkusz. </w:t>
      </w:r>
      <w:r w:rsidRPr="00E64F71">
        <w:t>W poniższych tabelach zawarto wyniki delimitacji przeprowadzonej w oparciu o dane historyczne (za lata</w:t>
      </w:r>
      <w:r>
        <w:t xml:space="preserve"> 2003,</w:t>
      </w:r>
      <w:r w:rsidRPr="00E64F71">
        <w:t xml:space="preserve"> </w:t>
      </w:r>
      <w:r>
        <w:t>2014, 2016</w:t>
      </w:r>
      <w:r w:rsidR="0036331E">
        <w:t>) i najbardziej aktualne (za </w:t>
      </w:r>
      <w:r w:rsidRPr="00E64F71">
        <w:t>lata 20</w:t>
      </w:r>
      <w:r>
        <w:t>21, 2022, 2023</w:t>
      </w:r>
      <w:r w:rsidRPr="00E64F71">
        <w:t xml:space="preserve">). Kolorem szarym oznaczono wskaźniki spełniające przyjęte kryteria, natomiast </w:t>
      </w:r>
      <w:r>
        <w:t>czerwonym</w:t>
      </w:r>
      <w:r w:rsidRPr="00E64F71">
        <w:t xml:space="preserve"> – wskaźniki, które wykazują tendencję wzrostową</w:t>
      </w:r>
      <w:r w:rsidR="00807386">
        <w:t>.</w:t>
      </w:r>
    </w:p>
    <w:p w14:paraId="08D2A933" w14:textId="77777777" w:rsidR="00884DD1" w:rsidRDefault="00884DD1" w:rsidP="00884DD1">
      <w:pPr>
        <w:pStyle w:val="Legenda"/>
        <w:keepNext/>
        <w:spacing w:after="0"/>
      </w:pPr>
      <w:bookmarkStart w:id="4" w:name="_Toc181860163"/>
      <w:r>
        <w:t xml:space="preserve">Tabela </w:t>
      </w:r>
      <w:r w:rsidR="004D3018">
        <w:rPr>
          <w:noProof/>
        </w:rPr>
        <w:fldChar w:fldCharType="begin"/>
      </w:r>
      <w:r w:rsidR="004D3018">
        <w:rPr>
          <w:noProof/>
        </w:rPr>
        <w:instrText xml:space="preserve"> SEQ Tabela \* ARABIC </w:instrText>
      </w:r>
      <w:r w:rsidR="004D3018">
        <w:rPr>
          <w:noProof/>
        </w:rPr>
        <w:fldChar w:fldCharType="separate"/>
      </w:r>
      <w:r w:rsidR="003606AF">
        <w:rPr>
          <w:noProof/>
        </w:rPr>
        <w:t>2</w:t>
      </w:r>
      <w:r w:rsidR="004D3018">
        <w:rPr>
          <w:noProof/>
        </w:rPr>
        <w:fldChar w:fldCharType="end"/>
      </w:r>
      <w:r w:rsidRPr="001546A4">
        <w:t xml:space="preserve"> Wyniki delimitacji w oparciu o dane z</w:t>
      </w:r>
      <w:r>
        <w:t xml:space="preserve"> 2003 r., 2013 r., 2014 r. i 2016 r.</w:t>
      </w:r>
      <w:bookmarkEnd w:id="4"/>
    </w:p>
    <w:tbl>
      <w:tblPr>
        <w:tblW w:w="14062" w:type="dxa"/>
        <w:tblInd w:w="93" w:type="dxa"/>
        <w:tblBorders>
          <w:bottom w:val="single" w:sz="4" w:space="0" w:color="808080"/>
          <w:insideH w:val="single" w:sz="4" w:space="0" w:color="808080"/>
          <w:insideV w:val="single" w:sz="4" w:space="0" w:color="808080"/>
        </w:tblBorders>
        <w:tblLayout w:type="fixed"/>
        <w:tblLook w:val="0000" w:firstRow="0" w:lastRow="0" w:firstColumn="0" w:lastColumn="0" w:noHBand="0" w:noVBand="0"/>
      </w:tblPr>
      <w:tblGrid>
        <w:gridCol w:w="1447"/>
        <w:gridCol w:w="1701"/>
        <w:gridCol w:w="1417"/>
        <w:gridCol w:w="1985"/>
        <w:gridCol w:w="850"/>
        <w:gridCol w:w="851"/>
        <w:gridCol w:w="992"/>
        <w:gridCol w:w="850"/>
        <w:gridCol w:w="851"/>
        <w:gridCol w:w="850"/>
        <w:gridCol w:w="851"/>
        <w:gridCol w:w="1417"/>
      </w:tblGrid>
      <w:tr w:rsidR="00884DD1" w:rsidRPr="00413131" w14:paraId="5FC90349" w14:textId="77777777" w:rsidTr="00A63813">
        <w:trPr>
          <w:trHeight w:val="300"/>
        </w:trPr>
        <w:tc>
          <w:tcPr>
            <w:tcW w:w="1447" w:type="dxa"/>
            <w:vMerge w:val="restart"/>
            <w:tcBorders>
              <w:top w:val="single" w:sz="4" w:space="0" w:color="FFFFFF"/>
              <w:left w:val="single" w:sz="4" w:space="0" w:color="FFFFFF"/>
              <w:bottom w:val="single" w:sz="4" w:space="0" w:color="FFFFFF"/>
              <w:right w:val="single" w:sz="4" w:space="0" w:color="FFFFFF"/>
            </w:tcBorders>
            <w:shd w:val="clear" w:color="auto" w:fill="D0E6F6" w:themeFill="accent6" w:themeFillTint="33"/>
            <w:vAlign w:val="center"/>
          </w:tcPr>
          <w:p w14:paraId="14B1B045" w14:textId="77777777" w:rsidR="00884DD1" w:rsidRPr="00413131" w:rsidRDefault="00884DD1" w:rsidP="00A63813">
            <w:pPr>
              <w:spacing w:after="0" w:line="240" w:lineRule="auto"/>
              <w:jc w:val="center"/>
              <w:rPr>
                <w:rFonts w:cstheme="minorHAnsi"/>
              </w:rPr>
            </w:pPr>
            <w:bookmarkStart w:id="5" w:name="_Hlk150779878"/>
            <w:r>
              <w:rPr>
                <w:rFonts w:cstheme="minorHAnsi"/>
                <w:bCs/>
                <w:color w:val="000000"/>
              </w:rPr>
              <w:t>Gmina</w:t>
            </w:r>
          </w:p>
        </w:tc>
        <w:tc>
          <w:tcPr>
            <w:tcW w:w="1701" w:type="dxa"/>
            <w:vMerge w:val="restart"/>
            <w:tcBorders>
              <w:top w:val="single" w:sz="4" w:space="0" w:color="FFFFFF"/>
              <w:left w:val="single" w:sz="4" w:space="0" w:color="FFFFFF"/>
              <w:bottom w:val="single" w:sz="4" w:space="0" w:color="FFFFFF"/>
              <w:right w:val="single" w:sz="4" w:space="0" w:color="FFFFFF"/>
            </w:tcBorders>
            <w:shd w:val="clear" w:color="auto" w:fill="D0E6F6" w:themeFill="accent6" w:themeFillTint="33"/>
            <w:vAlign w:val="center"/>
          </w:tcPr>
          <w:p w14:paraId="7FC3F704" w14:textId="77777777" w:rsidR="00884DD1" w:rsidRPr="00413131" w:rsidRDefault="00884DD1" w:rsidP="00A63813">
            <w:pPr>
              <w:spacing w:after="0" w:line="240" w:lineRule="auto"/>
              <w:jc w:val="center"/>
              <w:rPr>
                <w:rFonts w:cstheme="minorHAnsi"/>
                <w:bCs/>
                <w:color w:val="000000"/>
              </w:rPr>
            </w:pPr>
            <w:r w:rsidRPr="00413131">
              <w:rPr>
                <w:rFonts w:cstheme="minorHAnsi"/>
                <w:bCs/>
                <w:color w:val="000000"/>
              </w:rPr>
              <w:t>B - typ administracyjny gminy</w:t>
            </w:r>
            <w:r w:rsidRPr="00413131">
              <w:rPr>
                <w:rStyle w:val="Odwoanieprzypisudolnego"/>
                <w:rFonts w:cstheme="minorHAnsi"/>
                <w:bCs/>
                <w:color w:val="000000"/>
              </w:rPr>
              <w:footnoteReference w:id="4"/>
            </w:r>
          </w:p>
        </w:tc>
        <w:tc>
          <w:tcPr>
            <w:tcW w:w="1417" w:type="dxa"/>
            <w:vMerge w:val="restart"/>
            <w:tcBorders>
              <w:top w:val="single" w:sz="4" w:space="0" w:color="FFFFFF"/>
              <w:left w:val="single" w:sz="4" w:space="0" w:color="FFFFFF"/>
              <w:bottom w:val="single" w:sz="4" w:space="0" w:color="FFFFFF"/>
              <w:right w:val="single" w:sz="4" w:space="0" w:color="FFFFFF"/>
            </w:tcBorders>
            <w:shd w:val="clear" w:color="auto" w:fill="D0E6F6" w:themeFill="accent6" w:themeFillTint="33"/>
            <w:vAlign w:val="center"/>
          </w:tcPr>
          <w:p w14:paraId="1BE85E40" w14:textId="77777777" w:rsidR="00884DD1" w:rsidRPr="00413131" w:rsidRDefault="00884DD1" w:rsidP="00A63813">
            <w:pPr>
              <w:spacing w:after="0" w:line="240" w:lineRule="auto"/>
              <w:jc w:val="center"/>
              <w:rPr>
                <w:rFonts w:cstheme="minorHAnsi"/>
              </w:rPr>
            </w:pPr>
            <w:r w:rsidRPr="00413131">
              <w:rPr>
                <w:rFonts w:cstheme="minorHAnsi"/>
                <w:bCs/>
                <w:color w:val="000000"/>
              </w:rPr>
              <w:t>Powierzchnia (km</w:t>
            </w:r>
            <w:r w:rsidRPr="00413131">
              <w:rPr>
                <w:rFonts w:cstheme="minorHAnsi"/>
                <w:bCs/>
                <w:color w:val="000000"/>
                <w:vertAlign w:val="superscript"/>
              </w:rPr>
              <w:t>2</w:t>
            </w:r>
            <w:r w:rsidRPr="00413131">
              <w:rPr>
                <w:rFonts w:cstheme="minorHAnsi"/>
                <w:bCs/>
                <w:color w:val="000000"/>
              </w:rPr>
              <w:t>)</w:t>
            </w:r>
          </w:p>
        </w:tc>
        <w:tc>
          <w:tcPr>
            <w:tcW w:w="1985" w:type="dxa"/>
            <w:vMerge w:val="restart"/>
            <w:tcBorders>
              <w:top w:val="single" w:sz="4" w:space="0" w:color="FFFFFF"/>
              <w:left w:val="single" w:sz="4" w:space="0" w:color="FFFFFF"/>
              <w:bottom w:val="single" w:sz="4" w:space="0" w:color="FFFFFF"/>
              <w:right w:val="single" w:sz="4" w:space="0" w:color="FFFFFF"/>
            </w:tcBorders>
            <w:shd w:val="clear" w:color="auto" w:fill="D0E6F6" w:themeFill="accent6" w:themeFillTint="33"/>
            <w:vAlign w:val="center"/>
          </w:tcPr>
          <w:p w14:paraId="3C74723A" w14:textId="77777777" w:rsidR="00884DD1" w:rsidRPr="00413131" w:rsidRDefault="00884DD1" w:rsidP="00A63813">
            <w:pPr>
              <w:spacing w:after="0" w:line="240" w:lineRule="auto"/>
              <w:jc w:val="center"/>
              <w:rPr>
                <w:rFonts w:cstheme="minorHAnsi"/>
              </w:rPr>
            </w:pPr>
            <w:r w:rsidRPr="00413131">
              <w:rPr>
                <w:rFonts w:cstheme="minorHAnsi"/>
                <w:bCs/>
                <w:color w:val="000000"/>
              </w:rPr>
              <w:t>Liczba mieszkańców</w:t>
            </w:r>
          </w:p>
        </w:tc>
        <w:tc>
          <w:tcPr>
            <w:tcW w:w="6095" w:type="dxa"/>
            <w:gridSpan w:val="7"/>
            <w:tcBorders>
              <w:top w:val="single" w:sz="4" w:space="0" w:color="FFFFFF"/>
              <w:left w:val="single" w:sz="4" w:space="0" w:color="FFFFFF"/>
              <w:bottom w:val="single" w:sz="4" w:space="0" w:color="FFFFFF"/>
              <w:right w:val="single" w:sz="4" w:space="0" w:color="FFFFFF"/>
            </w:tcBorders>
            <w:shd w:val="clear" w:color="auto" w:fill="D0E6F6" w:themeFill="accent6" w:themeFillTint="33"/>
            <w:vAlign w:val="center"/>
          </w:tcPr>
          <w:p w14:paraId="5A4EDEA8" w14:textId="77777777" w:rsidR="00884DD1" w:rsidRPr="00413131" w:rsidRDefault="00884DD1" w:rsidP="00A63813">
            <w:pPr>
              <w:spacing w:after="0" w:line="240" w:lineRule="auto"/>
              <w:jc w:val="center"/>
              <w:rPr>
                <w:rFonts w:cstheme="minorHAnsi"/>
              </w:rPr>
            </w:pPr>
            <w:r w:rsidRPr="00413131">
              <w:rPr>
                <w:rFonts w:cstheme="minorHAnsi"/>
                <w:bCs/>
                <w:color w:val="000000"/>
              </w:rPr>
              <w:t>Wartość wskaźników</w:t>
            </w:r>
          </w:p>
        </w:tc>
        <w:tc>
          <w:tcPr>
            <w:tcW w:w="1417" w:type="dxa"/>
            <w:vMerge w:val="restart"/>
            <w:tcBorders>
              <w:top w:val="single" w:sz="4" w:space="0" w:color="FFFFFF"/>
              <w:left w:val="single" w:sz="4" w:space="0" w:color="FFFFFF"/>
              <w:bottom w:val="single" w:sz="4" w:space="0" w:color="FFFFFF"/>
              <w:right w:val="single" w:sz="4" w:space="0" w:color="FFFFFF"/>
            </w:tcBorders>
            <w:shd w:val="clear" w:color="auto" w:fill="D0E6F6" w:themeFill="accent6" w:themeFillTint="33"/>
            <w:vAlign w:val="center"/>
          </w:tcPr>
          <w:p w14:paraId="1EC0A6BA" w14:textId="77777777" w:rsidR="00884DD1" w:rsidRPr="00413131" w:rsidRDefault="00884DD1" w:rsidP="00A63813">
            <w:pPr>
              <w:spacing w:after="0" w:line="240" w:lineRule="auto"/>
              <w:jc w:val="center"/>
              <w:rPr>
                <w:rFonts w:cstheme="minorHAnsi"/>
              </w:rPr>
            </w:pPr>
            <w:r>
              <w:rPr>
                <w:rFonts w:cstheme="minorHAnsi"/>
                <w:bCs/>
                <w:color w:val="000000"/>
              </w:rPr>
              <w:t>L</w:t>
            </w:r>
            <w:r w:rsidRPr="00413131">
              <w:rPr>
                <w:rFonts w:cstheme="minorHAnsi"/>
                <w:bCs/>
                <w:color w:val="000000"/>
              </w:rPr>
              <w:t>iczba spełnionych minimalnych kryteriów</w:t>
            </w:r>
          </w:p>
        </w:tc>
      </w:tr>
      <w:tr w:rsidR="00884DD1" w:rsidRPr="00413131" w14:paraId="630F554F" w14:textId="77777777" w:rsidTr="00A63813">
        <w:trPr>
          <w:trHeight w:val="900"/>
        </w:trPr>
        <w:tc>
          <w:tcPr>
            <w:tcW w:w="1447" w:type="dxa"/>
            <w:vMerge/>
            <w:tcBorders>
              <w:top w:val="single" w:sz="4" w:space="0" w:color="FFFFFF"/>
              <w:left w:val="single" w:sz="4" w:space="0" w:color="FFFFFF"/>
              <w:bottom w:val="single" w:sz="4" w:space="0" w:color="FFFFFF"/>
              <w:right w:val="single" w:sz="4" w:space="0" w:color="FFFFFF"/>
            </w:tcBorders>
            <w:shd w:val="clear" w:color="auto" w:fill="D0E6F6" w:themeFill="accent6" w:themeFillTint="33"/>
            <w:vAlign w:val="center"/>
          </w:tcPr>
          <w:p w14:paraId="3D8FFFEE" w14:textId="77777777" w:rsidR="00884DD1" w:rsidRPr="00413131" w:rsidRDefault="00884DD1" w:rsidP="00A63813">
            <w:pPr>
              <w:spacing w:after="0" w:line="240" w:lineRule="auto"/>
              <w:jc w:val="center"/>
              <w:rPr>
                <w:rFonts w:cstheme="minorHAnsi"/>
                <w:b/>
                <w:bCs/>
                <w:color w:val="000000"/>
              </w:rPr>
            </w:pPr>
          </w:p>
        </w:tc>
        <w:tc>
          <w:tcPr>
            <w:tcW w:w="1701" w:type="dxa"/>
            <w:vMerge/>
            <w:tcBorders>
              <w:top w:val="single" w:sz="4" w:space="0" w:color="FFFFFF"/>
              <w:left w:val="single" w:sz="4" w:space="0" w:color="FFFFFF"/>
              <w:bottom w:val="single" w:sz="4" w:space="0" w:color="FFFFFF"/>
              <w:right w:val="single" w:sz="4" w:space="0" w:color="FFFFFF"/>
            </w:tcBorders>
            <w:shd w:val="clear" w:color="auto" w:fill="D0E6F6" w:themeFill="accent6" w:themeFillTint="33"/>
            <w:vAlign w:val="center"/>
          </w:tcPr>
          <w:p w14:paraId="585A2354" w14:textId="77777777" w:rsidR="00884DD1" w:rsidRPr="00413131" w:rsidRDefault="00884DD1" w:rsidP="00A63813">
            <w:pPr>
              <w:spacing w:after="0" w:line="240" w:lineRule="auto"/>
              <w:jc w:val="center"/>
              <w:rPr>
                <w:rFonts w:cstheme="minorHAnsi"/>
                <w:b/>
                <w:bCs/>
                <w:color w:val="000000"/>
              </w:rPr>
            </w:pPr>
          </w:p>
        </w:tc>
        <w:tc>
          <w:tcPr>
            <w:tcW w:w="1417" w:type="dxa"/>
            <w:vMerge/>
            <w:tcBorders>
              <w:top w:val="single" w:sz="4" w:space="0" w:color="FFFFFF"/>
              <w:left w:val="single" w:sz="4" w:space="0" w:color="FFFFFF"/>
              <w:bottom w:val="single" w:sz="4" w:space="0" w:color="FFFFFF"/>
              <w:right w:val="single" w:sz="4" w:space="0" w:color="FFFFFF"/>
            </w:tcBorders>
            <w:shd w:val="clear" w:color="auto" w:fill="D0E6F6" w:themeFill="accent6" w:themeFillTint="33"/>
            <w:vAlign w:val="center"/>
          </w:tcPr>
          <w:p w14:paraId="150A2D80" w14:textId="77777777" w:rsidR="00884DD1" w:rsidRPr="00413131" w:rsidRDefault="00884DD1" w:rsidP="00A63813">
            <w:pPr>
              <w:spacing w:after="0" w:line="240" w:lineRule="auto"/>
              <w:jc w:val="center"/>
              <w:rPr>
                <w:rFonts w:cstheme="minorHAnsi"/>
                <w:b/>
                <w:bCs/>
                <w:color w:val="000000"/>
              </w:rPr>
            </w:pPr>
          </w:p>
        </w:tc>
        <w:tc>
          <w:tcPr>
            <w:tcW w:w="1985" w:type="dxa"/>
            <w:vMerge/>
            <w:tcBorders>
              <w:top w:val="single" w:sz="4" w:space="0" w:color="FFFFFF"/>
              <w:left w:val="single" w:sz="4" w:space="0" w:color="FFFFFF"/>
              <w:bottom w:val="single" w:sz="4" w:space="0" w:color="FFFFFF"/>
              <w:right w:val="single" w:sz="4" w:space="0" w:color="FFFFFF"/>
            </w:tcBorders>
            <w:shd w:val="clear" w:color="auto" w:fill="D0E6F6" w:themeFill="accent6" w:themeFillTint="33"/>
            <w:vAlign w:val="center"/>
          </w:tcPr>
          <w:p w14:paraId="42805520" w14:textId="77777777" w:rsidR="00884DD1" w:rsidRPr="00413131" w:rsidRDefault="00884DD1" w:rsidP="00A63813">
            <w:pPr>
              <w:spacing w:after="0" w:line="240" w:lineRule="auto"/>
              <w:jc w:val="center"/>
              <w:rPr>
                <w:rFonts w:cstheme="minorHAnsi"/>
                <w:b/>
                <w:bCs/>
                <w:color w:val="000000"/>
              </w:rPr>
            </w:pPr>
          </w:p>
        </w:tc>
        <w:tc>
          <w:tcPr>
            <w:tcW w:w="850" w:type="dxa"/>
            <w:tcBorders>
              <w:top w:val="single" w:sz="4" w:space="0" w:color="FFFFFF"/>
              <w:left w:val="single" w:sz="4" w:space="0" w:color="FFFFFF"/>
            </w:tcBorders>
            <w:shd w:val="clear" w:color="auto" w:fill="auto"/>
            <w:vAlign w:val="center"/>
          </w:tcPr>
          <w:p w14:paraId="504E8D5B" w14:textId="77777777" w:rsidR="00884DD1" w:rsidRPr="00413131" w:rsidRDefault="00884DD1" w:rsidP="00A63813">
            <w:pPr>
              <w:spacing w:after="0" w:line="240" w:lineRule="auto"/>
              <w:jc w:val="center"/>
              <w:rPr>
                <w:rFonts w:cstheme="minorHAnsi"/>
              </w:rPr>
            </w:pPr>
            <w:r w:rsidRPr="00413131">
              <w:rPr>
                <w:rFonts w:cstheme="minorHAnsi"/>
                <w:b/>
                <w:bCs/>
                <w:color w:val="000000"/>
              </w:rPr>
              <w:t>F1</w:t>
            </w:r>
          </w:p>
        </w:tc>
        <w:tc>
          <w:tcPr>
            <w:tcW w:w="851" w:type="dxa"/>
            <w:tcBorders>
              <w:top w:val="single" w:sz="4" w:space="0" w:color="FFFFFF"/>
            </w:tcBorders>
            <w:shd w:val="clear" w:color="auto" w:fill="auto"/>
            <w:vAlign w:val="center"/>
          </w:tcPr>
          <w:p w14:paraId="7091C900" w14:textId="77777777" w:rsidR="00884DD1" w:rsidRPr="00413131" w:rsidRDefault="00884DD1" w:rsidP="00A63813">
            <w:pPr>
              <w:spacing w:after="0" w:line="240" w:lineRule="auto"/>
              <w:jc w:val="center"/>
              <w:rPr>
                <w:rFonts w:cstheme="minorHAnsi"/>
              </w:rPr>
            </w:pPr>
            <w:r w:rsidRPr="00413131">
              <w:rPr>
                <w:rFonts w:cstheme="minorHAnsi"/>
                <w:b/>
                <w:bCs/>
                <w:color w:val="000000"/>
              </w:rPr>
              <w:t>F2</w:t>
            </w:r>
          </w:p>
        </w:tc>
        <w:tc>
          <w:tcPr>
            <w:tcW w:w="992" w:type="dxa"/>
            <w:tcBorders>
              <w:top w:val="single" w:sz="4" w:space="0" w:color="FFFFFF"/>
            </w:tcBorders>
            <w:shd w:val="clear" w:color="auto" w:fill="auto"/>
            <w:vAlign w:val="center"/>
          </w:tcPr>
          <w:p w14:paraId="23D90940" w14:textId="77777777" w:rsidR="00884DD1" w:rsidRPr="00413131" w:rsidRDefault="00884DD1" w:rsidP="00A63813">
            <w:pPr>
              <w:spacing w:after="0" w:line="240" w:lineRule="auto"/>
              <w:jc w:val="center"/>
              <w:rPr>
                <w:rFonts w:cstheme="minorHAnsi"/>
              </w:rPr>
            </w:pPr>
            <w:r w:rsidRPr="00413131">
              <w:rPr>
                <w:rFonts w:cstheme="minorHAnsi"/>
                <w:b/>
                <w:bCs/>
                <w:color w:val="000000"/>
              </w:rPr>
              <w:t>S1</w:t>
            </w:r>
          </w:p>
        </w:tc>
        <w:tc>
          <w:tcPr>
            <w:tcW w:w="850" w:type="dxa"/>
            <w:tcBorders>
              <w:top w:val="single" w:sz="4" w:space="0" w:color="FFFFFF"/>
            </w:tcBorders>
            <w:shd w:val="clear" w:color="auto" w:fill="auto"/>
            <w:vAlign w:val="center"/>
          </w:tcPr>
          <w:p w14:paraId="5844A6A7" w14:textId="77777777" w:rsidR="00884DD1" w:rsidRPr="00413131" w:rsidRDefault="00884DD1" w:rsidP="00A63813">
            <w:pPr>
              <w:spacing w:after="0" w:line="240" w:lineRule="auto"/>
              <w:jc w:val="center"/>
              <w:rPr>
                <w:rFonts w:cstheme="minorHAnsi"/>
              </w:rPr>
            </w:pPr>
            <w:r w:rsidRPr="00413131">
              <w:rPr>
                <w:rFonts w:cstheme="minorHAnsi"/>
                <w:b/>
                <w:bCs/>
                <w:color w:val="000000"/>
              </w:rPr>
              <w:t>S2</w:t>
            </w:r>
          </w:p>
        </w:tc>
        <w:tc>
          <w:tcPr>
            <w:tcW w:w="851" w:type="dxa"/>
            <w:tcBorders>
              <w:top w:val="single" w:sz="4" w:space="0" w:color="FFFFFF"/>
            </w:tcBorders>
            <w:shd w:val="clear" w:color="auto" w:fill="auto"/>
            <w:vAlign w:val="center"/>
          </w:tcPr>
          <w:p w14:paraId="5CBA3CAB" w14:textId="77777777" w:rsidR="00884DD1" w:rsidRPr="00413131" w:rsidRDefault="00884DD1" w:rsidP="00A63813">
            <w:pPr>
              <w:spacing w:after="0" w:line="240" w:lineRule="auto"/>
              <w:jc w:val="center"/>
              <w:rPr>
                <w:rFonts w:cstheme="minorHAnsi"/>
              </w:rPr>
            </w:pPr>
            <w:r w:rsidRPr="00413131">
              <w:rPr>
                <w:rFonts w:cstheme="minorHAnsi"/>
                <w:b/>
                <w:bCs/>
                <w:color w:val="000000"/>
              </w:rPr>
              <w:t>S3</w:t>
            </w:r>
          </w:p>
        </w:tc>
        <w:tc>
          <w:tcPr>
            <w:tcW w:w="850" w:type="dxa"/>
            <w:tcBorders>
              <w:top w:val="single" w:sz="4" w:space="0" w:color="FFFFFF"/>
            </w:tcBorders>
            <w:shd w:val="clear" w:color="auto" w:fill="auto"/>
            <w:vAlign w:val="center"/>
          </w:tcPr>
          <w:p w14:paraId="6FB64A74" w14:textId="77777777" w:rsidR="00884DD1" w:rsidRPr="00413131" w:rsidRDefault="00884DD1" w:rsidP="00A63813">
            <w:pPr>
              <w:spacing w:after="0" w:line="240" w:lineRule="auto"/>
              <w:jc w:val="center"/>
              <w:rPr>
                <w:rFonts w:cstheme="minorHAnsi"/>
              </w:rPr>
            </w:pPr>
            <w:r w:rsidRPr="00413131">
              <w:rPr>
                <w:rFonts w:cstheme="minorHAnsi"/>
                <w:b/>
                <w:bCs/>
                <w:color w:val="000000"/>
              </w:rPr>
              <w:t>M1</w:t>
            </w:r>
          </w:p>
        </w:tc>
        <w:tc>
          <w:tcPr>
            <w:tcW w:w="851" w:type="dxa"/>
            <w:tcBorders>
              <w:top w:val="single" w:sz="4" w:space="0" w:color="FFFFFF"/>
              <w:right w:val="single" w:sz="4" w:space="0" w:color="FFFFFF"/>
            </w:tcBorders>
            <w:shd w:val="clear" w:color="auto" w:fill="auto"/>
            <w:vAlign w:val="center"/>
          </w:tcPr>
          <w:p w14:paraId="3F533848" w14:textId="77777777" w:rsidR="00884DD1" w:rsidRPr="00413131" w:rsidRDefault="00884DD1" w:rsidP="00A63813">
            <w:pPr>
              <w:spacing w:after="0" w:line="240" w:lineRule="auto"/>
              <w:jc w:val="center"/>
              <w:rPr>
                <w:rFonts w:cstheme="minorHAnsi"/>
              </w:rPr>
            </w:pPr>
            <w:r w:rsidRPr="00413131">
              <w:rPr>
                <w:rFonts w:cstheme="minorHAnsi"/>
                <w:b/>
                <w:bCs/>
                <w:color w:val="000000"/>
              </w:rPr>
              <w:t>M2</w:t>
            </w:r>
          </w:p>
        </w:tc>
        <w:tc>
          <w:tcPr>
            <w:tcW w:w="1417" w:type="dxa"/>
            <w:vMerge/>
            <w:tcBorders>
              <w:top w:val="single" w:sz="4" w:space="0" w:color="FFFFFF"/>
              <w:left w:val="single" w:sz="4" w:space="0" w:color="FFFFFF"/>
              <w:bottom w:val="single" w:sz="4" w:space="0" w:color="FFFFFF"/>
              <w:right w:val="single" w:sz="4" w:space="0" w:color="FFFFFF"/>
            </w:tcBorders>
            <w:shd w:val="clear" w:color="auto" w:fill="D0E6F6" w:themeFill="accent6" w:themeFillTint="33"/>
            <w:vAlign w:val="center"/>
          </w:tcPr>
          <w:p w14:paraId="76A2EA9C" w14:textId="77777777" w:rsidR="00884DD1" w:rsidRPr="00413131" w:rsidRDefault="00884DD1" w:rsidP="00A63813">
            <w:pPr>
              <w:spacing w:after="0" w:line="240" w:lineRule="auto"/>
              <w:jc w:val="center"/>
              <w:rPr>
                <w:rFonts w:cstheme="minorHAnsi"/>
                <w:b/>
                <w:bCs/>
                <w:color w:val="000000"/>
              </w:rPr>
            </w:pPr>
          </w:p>
        </w:tc>
      </w:tr>
      <w:tr w:rsidR="00884DD1" w:rsidRPr="00413131" w14:paraId="6F7BE866" w14:textId="77777777" w:rsidTr="00A63813">
        <w:trPr>
          <w:trHeight w:val="300"/>
        </w:trPr>
        <w:tc>
          <w:tcPr>
            <w:tcW w:w="1447" w:type="dxa"/>
            <w:tcBorders>
              <w:top w:val="single" w:sz="4" w:space="0" w:color="FFFFFF"/>
            </w:tcBorders>
            <w:shd w:val="clear" w:color="auto" w:fill="auto"/>
            <w:vAlign w:val="center"/>
          </w:tcPr>
          <w:p w14:paraId="5E48B49A" w14:textId="77777777" w:rsidR="00884DD1" w:rsidRPr="00413131" w:rsidRDefault="00884DD1" w:rsidP="00A63813">
            <w:pPr>
              <w:spacing w:after="0" w:line="240" w:lineRule="auto"/>
              <w:jc w:val="center"/>
              <w:rPr>
                <w:rFonts w:cstheme="minorHAnsi"/>
              </w:rPr>
            </w:pPr>
            <w:r w:rsidRPr="00413131">
              <w:rPr>
                <w:rFonts w:cstheme="minorHAnsi"/>
                <w:b/>
                <w:bCs/>
                <w:color w:val="000000"/>
              </w:rPr>
              <w:t>Dane za rok</w:t>
            </w:r>
          </w:p>
        </w:tc>
        <w:tc>
          <w:tcPr>
            <w:tcW w:w="1701" w:type="dxa"/>
            <w:tcBorders>
              <w:top w:val="single" w:sz="4" w:space="0" w:color="FFFFFF"/>
            </w:tcBorders>
            <w:shd w:val="clear" w:color="auto" w:fill="auto"/>
            <w:vAlign w:val="center"/>
          </w:tcPr>
          <w:p w14:paraId="26457048" w14:textId="77777777" w:rsidR="00884DD1" w:rsidRPr="00413131" w:rsidRDefault="00884DD1" w:rsidP="00A63813">
            <w:pPr>
              <w:spacing w:after="0" w:line="240" w:lineRule="auto"/>
              <w:jc w:val="center"/>
              <w:rPr>
                <w:rFonts w:cstheme="minorHAnsi"/>
                <w:b/>
                <w:bCs/>
                <w:color w:val="000000"/>
              </w:rPr>
            </w:pPr>
          </w:p>
        </w:tc>
        <w:tc>
          <w:tcPr>
            <w:tcW w:w="1417" w:type="dxa"/>
            <w:tcBorders>
              <w:top w:val="single" w:sz="4" w:space="0" w:color="FFFFFF"/>
            </w:tcBorders>
            <w:shd w:val="clear" w:color="auto" w:fill="auto"/>
            <w:vAlign w:val="center"/>
          </w:tcPr>
          <w:p w14:paraId="50F1490E" w14:textId="77777777" w:rsidR="00884DD1" w:rsidRPr="00413131" w:rsidRDefault="00884DD1" w:rsidP="00A63813">
            <w:pPr>
              <w:spacing w:after="0" w:line="240" w:lineRule="auto"/>
              <w:jc w:val="center"/>
              <w:rPr>
                <w:rFonts w:cstheme="minorHAnsi"/>
              </w:rPr>
            </w:pPr>
            <w:r w:rsidRPr="00413131">
              <w:rPr>
                <w:rFonts w:cstheme="minorHAnsi"/>
                <w:b/>
                <w:bCs/>
                <w:color w:val="000000"/>
              </w:rPr>
              <w:t>201</w:t>
            </w:r>
            <w:r>
              <w:rPr>
                <w:rFonts w:cstheme="minorHAnsi"/>
                <w:b/>
                <w:bCs/>
                <w:color w:val="000000"/>
              </w:rPr>
              <w:t>4</w:t>
            </w:r>
          </w:p>
        </w:tc>
        <w:tc>
          <w:tcPr>
            <w:tcW w:w="1985" w:type="dxa"/>
            <w:tcBorders>
              <w:top w:val="single" w:sz="4" w:space="0" w:color="FFFFFF"/>
            </w:tcBorders>
            <w:shd w:val="clear" w:color="auto" w:fill="auto"/>
            <w:vAlign w:val="center"/>
          </w:tcPr>
          <w:p w14:paraId="538C8230" w14:textId="77777777" w:rsidR="00884DD1" w:rsidRPr="00413131" w:rsidRDefault="00884DD1" w:rsidP="00A63813">
            <w:pPr>
              <w:spacing w:after="0" w:line="240" w:lineRule="auto"/>
              <w:jc w:val="center"/>
              <w:rPr>
                <w:rFonts w:cstheme="minorHAnsi"/>
              </w:rPr>
            </w:pPr>
            <w:r w:rsidRPr="00413131">
              <w:rPr>
                <w:rFonts w:cstheme="minorHAnsi"/>
                <w:b/>
                <w:bCs/>
                <w:color w:val="000000"/>
              </w:rPr>
              <w:t>201</w:t>
            </w:r>
            <w:r>
              <w:rPr>
                <w:rFonts w:cstheme="minorHAnsi"/>
                <w:b/>
                <w:bCs/>
                <w:color w:val="000000"/>
              </w:rPr>
              <w:t>4</w:t>
            </w:r>
          </w:p>
        </w:tc>
        <w:tc>
          <w:tcPr>
            <w:tcW w:w="850" w:type="dxa"/>
            <w:shd w:val="clear" w:color="auto" w:fill="auto"/>
            <w:vAlign w:val="center"/>
          </w:tcPr>
          <w:p w14:paraId="506B5F0D" w14:textId="77777777" w:rsidR="00884DD1" w:rsidRPr="00413131" w:rsidRDefault="00884DD1" w:rsidP="00A63813">
            <w:pPr>
              <w:spacing w:after="0" w:line="240" w:lineRule="auto"/>
              <w:jc w:val="center"/>
              <w:rPr>
                <w:rFonts w:cstheme="minorHAnsi"/>
              </w:rPr>
            </w:pPr>
            <w:r w:rsidRPr="00413131">
              <w:rPr>
                <w:rFonts w:cstheme="minorHAnsi"/>
                <w:b/>
                <w:bCs/>
                <w:color w:val="000000"/>
              </w:rPr>
              <w:t>201</w:t>
            </w:r>
            <w:r>
              <w:rPr>
                <w:rFonts w:cstheme="minorHAnsi"/>
                <w:b/>
                <w:bCs/>
                <w:color w:val="000000"/>
              </w:rPr>
              <w:t>6</w:t>
            </w:r>
          </w:p>
        </w:tc>
        <w:tc>
          <w:tcPr>
            <w:tcW w:w="851" w:type="dxa"/>
            <w:shd w:val="clear" w:color="auto" w:fill="auto"/>
            <w:vAlign w:val="center"/>
          </w:tcPr>
          <w:p w14:paraId="422A59FA" w14:textId="77777777" w:rsidR="00884DD1" w:rsidRPr="00413131" w:rsidRDefault="00884DD1" w:rsidP="00A63813">
            <w:pPr>
              <w:spacing w:after="0" w:line="240" w:lineRule="auto"/>
              <w:jc w:val="center"/>
              <w:rPr>
                <w:rFonts w:cstheme="minorHAnsi"/>
              </w:rPr>
            </w:pPr>
            <w:r w:rsidRPr="00413131">
              <w:rPr>
                <w:rFonts w:cstheme="minorHAnsi"/>
                <w:b/>
                <w:bCs/>
                <w:color w:val="000000"/>
              </w:rPr>
              <w:t>20</w:t>
            </w:r>
            <w:r>
              <w:rPr>
                <w:rFonts w:cstheme="minorHAnsi"/>
                <w:b/>
                <w:bCs/>
                <w:color w:val="000000"/>
              </w:rPr>
              <w:t>14</w:t>
            </w:r>
          </w:p>
        </w:tc>
        <w:tc>
          <w:tcPr>
            <w:tcW w:w="992" w:type="dxa"/>
            <w:shd w:val="clear" w:color="auto" w:fill="auto"/>
            <w:vAlign w:val="center"/>
          </w:tcPr>
          <w:p w14:paraId="6DCAA701" w14:textId="77777777" w:rsidR="00884DD1" w:rsidRPr="00413131" w:rsidRDefault="00884DD1" w:rsidP="00A63813">
            <w:pPr>
              <w:spacing w:after="0" w:line="240" w:lineRule="auto"/>
              <w:jc w:val="center"/>
              <w:rPr>
                <w:rFonts w:cstheme="minorHAnsi"/>
              </w:rPr>
            </w:pPr>
            <w:r w:rsidRPr="00413131">
              <w:rPr>
                <w:rFonts w:cstheme="minorHAnsi"/>
                <w:b/>
                <w:bCs/>
                <w:color w:val="000000"/>
              </w:rPr>
              <w:t>2003</w:t>
            </w:r>
          </w:p>
        </w:tc>
        <w:tc>
          <w:tcPr>
            <w:tcW w:w="850" w:type="dxa"/>
            <w:shd w:val="clear" w:color="auto" w:fill="auto"/>
            <w:vAlign w:val="center"/>
          </w:tcPr>
          <w:p w14:paraId="1275D3BE" w14:textId="77777777" w:rsidR="00884DD1" w:rsidRPr="00413131" w:rsidRDefault="00884DD1" w:rsidP="00A63813">
            <w:pPr>
              <w:spacing w:after="0" w:line="240" w:lineRule="auto"/>
              <w:jc w:val="center"/>
              <w:rPr>
                <w:rFonts w:cstheme="minorHAnsi"/>
              </w:rPr>
            </w:pPr>
            <w:r w:rsidRPr="00413131">
              <w:rPr>
                <w:rFonts w:cstheme="minorHAnsi"/>
                <w:b/>
                <w:bCs/>
                <w:color w:val="000000"/>
              </w:rPr>
              <w:t>201</w:t>
            </w:r>
            <w:r>
              <w:rPr>
                <w:rFonts w:cstheme="minorHAnsi"/>
                <w:b/>
                <w:bCs/>
                <w:color w:val="000000"/>
              </w:rPr>
              <w:t>4</w:t>
            </w:r>
          </w:p>
        </w:tc>
        <w:tc>
          <w:tcPr>
            <w:tcW w:w="851" w:type="dxa"/>
            <w:shd w:val="clear" w:color="auto" w:fill="auto"/>
            <w:vAlign w:val="center"/>
          </w:tcPr>
          <w:p w14:paraId="4D48D599" w14:textId="77777777" w:rsidR="00884DD1" w:rsidRPr="00413131" w:rsidRDefault="00884DD1" w:rsidP="00A63813">
            <w:pPr>
              <w:spacing w:after="0" w:line="240" w:lineRule="auto"/>
              <w:jc w:val="center"/>
              <w:rPr>
                <w:rFonts w:cstheme="minorHAnsi"/>
              </w:rPr>
            </w:pPr>
            <w:r w:rsidRPr="00413131">
              <w:rPr>
                <w:rFonts w:cstheme="minorHAnsi"/>
                <w:b/>
                <w:bCs/>
                <w:color w:val="000000"/>
              </w:rPr>
              <w:t>201</w:t>
            </w:r>
            <w:r>
              <w:rPr>
                <w:rFonts w:cstheme="minorHAnsi"/>
                <w:b/>
                <w:bCs/>
                <w:color w:val="000000"/>
              </w:rPr>
              <w:t>4</w:t>
            </w:r>
          </w:p>
        </w:tc>
        <w:tc>
          <w:tcPr>
            <w:tcW w:w="850" w:type="dxa"/>
            <w:shd w:val="clear" w:color="auto" w:fill="auto"/>
            <w:vAlign w:val="center"/>
          </w:tcPr>
          <w:p w14:paraId="7E37238C" w14:textId="77777777" w:rsidR="00884DD1" w:rsidRPr="00413131" w:rsidRDefault="00884DD1" w:rsidP="00A63813">
            <w:pPr>
              <w:spacing w:after="0" w:line="240" w:lineRule="auto"/>
              <w:jc w:val="center"/>
              <w:rPr>
                <w:rFonts w:cstheme="minorHAnsi"/>
              </w:rPr>
            </w:pPr>
            <w:r w:rsidRPr="00413131">
              <w:rPr>
                <w:rFonts w:cstheme="minorHAnsi"/>
                <w:b/>
                <w:bCs/>
                <w:color w:val="000000"/>
              </w:rPr>
              <w:t>2014</w:t>
            </w:r>
          </w:p>
        </w:tc>
        <w:tc>
          <w:tcPr>
            <w:tcW w:w="851" w:type="dxa"/>
            <w:shd w:val="clear" w:color="auto" w:fill="auto"/>
            <w:vAlign w:val="center"/>
          </w:tcPr>
          <w:p w14:paraId="245BB150" w14:textId="77777777" w:rsidR="00884DD1" w:rsidRPr="00413131" w:rsidRDefault="00884DD1" w:rsidP="00A63813">
            <w:pPr>
              <w:spacing w:after="0" w:line="240" w:lineRule="auto"/>
              <w:jc w:val="center"/>
              <w:rPr>
                <w:rFonts w:cstheme="minorHAnsi"/>
              </w:rPr>
            </w:pPr>
            <w:r w:rsidRPr="00413131">
              <w:rPr>
                <w:rFonts w:cstheme="minorHAnsi"/>
                <w:b/>
                <w:bCs/>
                <w:color w:val="000000"/>
              </w:rPr>
              <w:t>201</w:t>
            </w:r>
            <w:r>
              <w:rPr>
                <w:rFonts w:cstheme="minorHAnsi"/>
                <w:b/>
                <w:bCs/>
                <w:color w:val="000000"/>
              </w:rPr>
              <w:t>3</w:t>
            </w:r>
          </w:p>
        </w:tc>
        <w:tc>
          <w:tcPr>
            <w:tcW w:w="1417" w:type="dxa"/>
            <w:vMerge w:val="restart"/>
            <w:tcBorders>
              <w:top w:val="single" w:sz="4" w:space="0" w:color="FFFFFF"/>
            </w:tcBorders>
            <w:shd w:val="clear" w:color="auto" w:fill="auto"/>
            <w:vAlign w:val="center"/>
          </w:tcPr>
          <w:p w14:paraId="6CAE22DA" w14:textId="77777777" w:rsidR="00884DD1" w:rsidRPr="00413131" w:rsidRDefault="00884DD1" w:rsidP="00A63813">
            <w:pPr>
              <w:spacing w:after="0" w:line="240" w:lineRule="auto"/>
              <w:jc w:val="center"/>
              <w:rPr>
                <w:rFonts w:cstheme="minorHAnsi"/>
                <w:b/>
                <w:bCs/>
                <w:color w:val="000000"/>
              </w:rPr>
            </w:pPr>
            <w:r>
              <w:rPr>
                <w:rFonts w:cstheme="minorHAnsi"/>
                <w:b/>
                <w:bCs/>
                <w:color w:val="000000"/>
              </w:rPr>
              <w:t>ogółem</w:t>
            </w:r>
          </w:p>
        </w:tc>
      </w:tr>
      <w:tr w:rsidR="00884DD1" w:rsidRPr="00413131" w14:paraId="0EFE5905" w14:textId="77777777" w:rsidTr="00A63813">
        <w:trPr>
          <w:trHeight w:val="300"/>
        </w:trPr>
        <w:tc>
          <w:tcPr>
            <w:tcW w:w="6550" w:type="dxa"/>
            <w:gridSpan w:val="4"/>
            <w:tcBorders>
              <w:top w:val="single" w:sz="4" w:space="0" w:color="FFFFFF"/>
            </w:tcBorders>
            <w:shd w:val="clear" w:color="auto" w:fill="auto"/>
            <w:vAlign w:val="center"/>
          </w:tcPr>
          <w:p w14:paraId="7F8F7DC6" w14:textId="77777777" w:rsidR="00884DD1" w:rsidRPr="00413131" w:rsidRDefault="00884DD1" w:rsidP="00A63813">
            <w:pPr>
              <w:spacing w:after="0" w:line="240" w:lineRule="auto"/>
              <w:jc w:val="right"/>
              <w:rPr>
                <w:rFonts w:cstheme="minorHAnsi"/>
                <w:b/>
                <w:bCs/>
                <w:color w:val="000000"/>
              </w:rPr>
            </w:pPr>
            <w:r>
              <w:rPr>
                <w:rFonts w:cstheme="minorHAnsi"/>
                <w:b/>
                <w:bCs/>
                <w:color w:val="000000"/>
              </w:rPr>
              <w:t>Warunek spełnienia kryterium</w:t>
            </w:r>
          </w:p>
        </w:tc>
        <w:tc>
          <w:tcPr>
            <w:tcW w:w="850" w:type="dxa"/>
            <w:shd w:val="clear" w:color="auto" w:fill="auto"/>
            <w:vAlign w:val="center"/>
          </w:tcPr>
          <w:p w14:paraId="3ED90459" w14:textId="77777777" w:rsidR="00884DD1" w:rsidRPr="00413131" w:rsidRDefault="00884DD1" w:rsidP="00A63813">
            <w:pPr>
              <w:spacing w:after="0" w:line="240" w:lineRule="auto"/>
              <w:jc w:val="center"/>
              <w:rPr>
                <w:rFonts w:cstheme="minorHAnsi"/>
                <w:b/>
                <w:bCs/>
                <w:color w:val="000000"/>
              </w:rPr>
            </w:pPr>
            <w:r>
              <w:rPr>
                <w:rFonts w:cstheme="minorHAnsi"/>
                <w:bCs/>
                <w:color w:val="000000"/>
              </w:rPr>
              <w:t>&gt;</w:t>
            </w:r>
            <w:r w:rsidRPr="002B4621">
              <w:rPr>
                <w:rFonts w:cstheme="minorHAnsi"/>
                <w:bCs/>
                <w:color w:val="000000"/>
              </w:rPr>
              <w:t xml:space="preserve"> 50</w:t>
            </w:r>
          </w:p>
        </w:tc>
        <w:tc>
          <w:tcPr>
            <w:tcW w:w="851" w:type="dxa"/>
            <w:shd w:val="clear" w:color="auto" w:fill="auto"/>
            <w:vAlign w:val="center"/>
          </w:tcPr>
          <w:p w14:paraId="2688A812" w14:textId="77777777" w:rsidR="00884DD1" w:rsidRPr="00413131" w:rsidRDefault="00884DD1" w:rsidP="00A63813">
            <w:pPr>
              <w:spacing w:after="0" w:line="240" w:lineRule="auto"/>
              <w:jc w:val="center"/>
              <w:rPr>
                <w:rFonts w:cstheme="minorHAnsi"/>
                <w:b/>
                <w:bCs/>
                <w:color w:val="000000"/>
              </w:rPr>
            </w:pPr>
            <w:r>
              <w:rPr>
                <w:rFonts w:cstheme="minorHAnsi"/>
                <w:bCs/>
                <w:color w:val="000000"/>
              </w:rPr>
              <w:t xml:space="preserve">&gt; </w:t>
            </w:r>
            <w:r w:rsidRPr="002B4621">
              <w:rPr>
                <w:rFonts w:cstheme="minorHAnsi"/>
                <w:bCs/>
                <w:color w:val="000000"/>
              </w:rPr>
              <w:t>3</w:t>
            </w:r>
          </w:p>
        </w:tc>
        <w:tc>
          <w:tcPr>
            <w:tcW w:w="992" w:type="dxa"/>
            <w:shd w:val="clear" w:color="auto" w:fill="auto"/>
            <w:vAlign w:val="center"/>
          </w:tcPr>
          <w:p w14:paraId="63A476EE" w14:textId="77777777" w:rsidR="00884DD1" w:rsidRPr="00413131" w:rsidRDefault="00884DD1" w:rsidP="00A63813">
            <w:pPr>
              <w:spacing w:after="0" w:line="240" w:lineRule="auto"/>
              <w:jc w:val="center"/>
              <w:rPr>
                <w:rFonts w:cstheme="minorHAnsi"/>
                <w:b/>
                <w:bCs/>
                <w:color w:val="000000"/>
              </w:rPr>
            </w:pPr>
            <w:r>
              <w:rPr>
                <w:rFonts w:cstheme="minorHAnsi"/>
                <w:bCs/>
                <w:color w:val="000000"/>
              </w:rPr>
              <w:t>&gt; 75%</w:t>
            </w:r>
          </w:p>
        </w:tc>
        <w:tc>
          <w:tcPr>
            <w:tcW w:w="850" w:type="dxa"/>
            <w:shd w:val="clear" w:color="auto" w:fill="auto"/>
            <w:vAlign w:val="center"/>
          </w:tcPr>
          <w:p w14:paraId="377371BC" w14:textId="77777777" w:rsidR="00884DD1" w:rsidRPr="00413131" w:rsidRDefault="00884DD1" w:rsidP="00A63813">
            <w:pPr>
              <w:spacing w:after="0" w:line="240" w:lineRule="auto"/>
              <w:jc w:val="center"/>
              <w:rPr>
                <w:rFonts w:cstheme="minorHAnsi"/>
                <w:b/>
                <w:bCs/>
                <w:color w:val="000000"/>
              </w:rPr>
            </w:pPr>
            <w:r>
              <w:rPr>
                <w:rFonts w:cstheme="minorHAnsi"/>
                <w:bCs/>
                <w:color w:val="000000"/>
              </w:rPr>
              <w:t>&gt; 75%</w:t>
            </w:r>
          </w:p>
        </w:tc>
        <w:tc>
          <w:tcPr>
            <w:tcW w:w="851" w:type="dxa"/>
            <w:shd w:val="clear" w:color="auto" w:fill="auto"/>
            <w:vAlign w:val="center"/>
          </w:tcPr>
          <w:p w14:paraId="62DF1B00" w14:textId="77777777" w:rsidR="00884DD1" w:rsidRPr="00413131" w:rsidRDefault="00884DD1" w:rsidP="00A63813">
            <w:pPr>
              <w:spacing w:after="0" w:line="240" w:lineRule="auto"/>
              <w:jc w:val="center"/>
              <w:rPr>
                <w:rFonts w:cstheme="minorHAnsi"/>
                <w:b/>
                <w:bCs/>
                <w:color w:val="000000"/>
              </w:rPr>
            </w:pPr>
            <w:r>
              <w:rPr>
                <w:rFonts w:cstheme="minorHAnsi"/>
                <w:bCs/>
                <w:color w:val="000000"/>
              </w:rPr>
              <w:t>&gt; 50%</w:t>
            </w:r>
          </w:p>
        </w:tc>
        <w:tc>
          <w:tcPr>
            <w:tcW w:w="850" w:type="dxa"/>
            <w:shd w:val="clear" w:color="auto" w:fill="auto"/>
            <w:vAlign w:val="center"/>
          </w:tcPr>
          <w:p w14:paraId="241BC9CF" w14:textId="77777777" w:rsidR="00884DD1" w:rsidRPr="00413131" w:rsidRDefault="00884DD1" w:rsidP="00A63813">
            <w:pPr>
              <w:spacing w:after="0" w:line="240" w:lineRule="auto"/>
              <w:jc w:val="center"/>
              <w:rPr>
                <w:rFonts w:cstheme="minorHAnsi"/>
                <w:b/>
                <w:bCs/>
                <w:color w:val="000000"/>
              </w:rPr>
            </w:pPr>
            <w:r>
              <w:rPr>
                <w:rFonts w:cstheme="minorHAnsi"/>
                <w:bCs/>
                <w:color w:val="000000"/>
              </w:rPr>
              <w:t>&gt; 50%</w:t>
            </w:r>
          </w:p>
        </w:tc>
        <w:tc>
          <w:tcPr>
            <w:tcW w:w="851" w:type="dxa"/>
            <w:shd w:val="clear" w:color="auto" w:fill="auto"/>
            <w:vAlign w:val="center"/>
          </w:tcPr>
          <w:p w14:paraId="5919D8DF" w14:textId="77777777" w:rsidR="00884DD1" w:rsidRPr="00413131" w:rsidRDefault="00884DD1" w:rsidP="00A63813">
            <w:pPr>
              <w:spacing w:after="0" w:line="240" w:lineRule="auto"/>
              <w:jc w:val="center"/>
              <w:rPr>
                <w:rFonts w:cstheme="minorHAnsi"/>
                <w:b/>
                <w:bCs/>
                <w:color w:val="000000"/>
              </w:rPr>
            </w:pPr>
            <w:r>
              <w:rPr>
                <w:rFonts w:cstheme="minorHAnsi"/>
                <w:bCs/>
                <w:color w:val="000000"/>
              </w:rPr>
              <w:t>&gt; 75%</w:t>
            </w:r>
          </w:p>
        </w:tc>
        <w:tc>
          <w:tcPr>
            <w:tcW w:w="1417" w:type="dxa"/>
            <w:vMerge/>
            <w:shd w:val="clear" w:color="auto" w:fill="auto"/>
            <w:vAlign w:val="center"/>
          </w:tcPr>
          <w:p w14:paraId="4FA1D893" w14:textId="77777777" w:rsidR="00884DD1" w:rsidRDefault="00884DD1" w:rsidP="00A63813">
            <w:pPr>
              <w:spacing w:after="0" w:line="240" w:lineRule="auto"/>
              <w:jc w:val="center"/>
              <w:rPr>
                <w:rFonts w:cstheme="minorHAnsi"/>
                <w:b/>
                <w:bCs/>
                <w:color w:val="000000"/>
              </w:rPr>
            </w:pPr>
          </w:p>
        </w:tc>
      </w:tr>
      <w:tr w:rsidR="00884DD1" w:rsidRPr="00413131" w14:paraId="63DA26E1" w14:textId="77777777" w:rsidTr="00A63813">
        <w:trPr>
          <w:trHeight w:val="300"/>
        </w:trPr>
        <w:tc>
          <w:tcPr>
            <w:tcW w:w="14062" w:type="dxa"/>
            <w:gridSpan w:val="12"/>
            <w:shd w:val="clear" w:color="auto" w:fill="auto"/>
            <w:vAlign w:val="center"/>
          </w:tcPr>
          <w:p w14:paraId="4EA9D195" w14:textId="77777777" w:rsidR="00884DD1" w:rsidRPr="00413131" w:rsidRDefault="00884DD1" w:rsidP="00A63813">
            <w:pPr>
              <w:spacing w:after="0" w:line="240" w:lineRule="auto"/>
              <w:jc w:val="center"/>
              <w:rPr>
                <w:rFonts w:cstheme="minorHAnsi"/>
              </w:rPr>
            </w:pPr>
            <w:r w:rsidRPr="00413131">
              <w:rPr>
                <w:rFonts w:cstheme="minorHAnsi"/>
                <w:b/>
                <w:bCs/>
                <w:color w:val="000000"/>
              </w:rPr>
              <w:t>Rdzeń</w:t>
            </w:r>
          </w:p>
        </w:tc>
      </w:tr>
      <w:tr w:rsidR="00884DD1" w:rsidRPr="00413131" w14:paraId="04796E57" w14:textId="77777777" w:rsidTr="00A63813">
        <w:trPr>
          <w:trHeight w:val="300"/>
        </w:trPr>
        <w:tc>
          <w:tcPr>
            <w:tcW w:w="1447" w:type="dxa"/>
            <w:shd w:val="clear" w:color="auto" w:fill="auto"/>
            <w:vAlign w:val="center"/>
          </w:tcPr>
          <w:p w14:paraId="43127934" w14:textId="77777777" w:rsidR="00884DD1" w:rsidRPr="00413131" w:rsidRDefault="00884DD1" w:rsidP="00A63813">
            <w:pPr>
              <w:spacing w:after="0" w:line="240" w:lineRule="auto"/>
              <w:jc w:val="center"/>
              <w:rPr>
                <w:rFonts w:cstheme="minorHAnsi"/>
              </w:rPr>
            </w:pPr>
            <w:r>
              <w:rPr>
                <w:rFonts w:cstheme="minorHAnsi"/>
              </w:rPr>
              <w:t>Olkusz</w:t>
            </w:r>
          </w:p>
        </w:tc>
        <w:tc>
          <w:tcPr>
            <w:tcW w:w="1701" w:type="dxa"/>
            <w:shd w:val="clear" w:color="auto" w:fill="auto"/>
            <w:vAlign w:val="center"/>
          </w:tcPr>
          <w:p w14:paraId="36C09635" w14:textId="77777777" w:rsidR="00884DD1" w:rsidRPr="00413131" w:rsidRDefault="00884DD1" w:rsidP="00A63813">
            <w:pPr>
              <w:spacing w:after="0" w:line="240" w:lineRule="auto"/>
              <w:jc w:val="center"/>
              <w:rPr>
                <w:rFonts w:cstheme="minorHAnsi"/>
              </w:rPr>
            </w:pPr>
            <w:r w:rsidRPr="00413131">
              <w:rPr>
                <w:rFonts w:cstheme="minorHAnsi"/>
              </w:rPr>
              <w:t>m</w:t>
            </w:r>
            <w:r>
              <w:rPr>
                <w:rFonts w:cstheme="minorHAnsi"/>
              </w:rPr>
              <w:t>w</w:t>
            </w:r>
          </w:p>
        </w:tc>
        <w:tc>
          <w:tcPr>
            <w:tcW w:w="1417" w:type="dxa"/>
            <w:shd w:val="clear" w:color="auto" w:fill="auto"/>
            <w:vAlign w:val="center"/>
          </w:tcPr>
          <w:p w14:paraId="154F52B0" w14:textId="77777777" w:rsidR="00884DD1" w:rsidRPr="00413131" w:rsidRDefault="00884DD1" w:rsidP="00A63813">
            <w:pPr>
              <w:spacing w:after="0" w:line="240" w:lineRule="auto"/>
              <w:jc w:val="center"/>
              <w:rPr>
                <w:rFonts w:cstheme="minorHAnsi"/>
              </w:rPr>
            </w:pPr>
            <w:r w:rsidRPr="00FF03A2">
              <w:rPr>
                <w:rFonts w:cstheme="minorHAnsi"/>
              </w:rPr>
              <w:t xml:space="preserve">150,9    </w:t>
            </w:r>
          </w:p>
        </w:tc>
        <w:tc>
          <w:tcPr>
            <w:tcW w:w="1985" w:type="dxa"/>
            <w:shd w:val="clear" w:color="auto" w:fill="auto"/>
            <w:vAlign w:val="center"/>
          </w:tcPr>
          <w:p w14:paraId="1F23DED7" w14:textId="77777777" w:rsidR="00884DD1" w:rsidRPr="00413131" w:rsidRDefault="00884DD1" w:rsidP="00A63813">
            <w:pPr>
              <w:spacing w:after="0" w:line="240" w:lineRule="auto"/>
              <w:jc w:val="center"/>
              <w:rPr>
                <w:rFonts w:cstheme="minorHAnsi"/>
              </w:rPr>
            </w:pPr>
            <w:r w:rsidRPr="004354FB">
              <w:rPr>
                <w:rFonts w:cstheme="minorHAnsi"/>
              </w:rPr>
              <w:t>49 800</w:t>
            </w:r>
          </w:p>
        </w:tc>
        <w:tc>
          <w:tcPr>
            <w:tcW w:w="850" w:type="dxa"/>
            <w:shd w:val="clear" w:color="auto" w:fill="auto"/>
            <w:vAlign w:val="center"/>
          </w:tcPr>
          <w:p w14:paraId="3E289AB9" w14:textId="77777777" w:rsidR="00884DD1" w:rsidRPr="00413131" w:rsidRDefault="00884DD1" w:rsidP="00A63813">
            <w:pPr>
              <w:spacing w:after="0" w:line="240" w:lineRule="auto"/>
              <w:jc w:val="center"/>
              <w:rPr>
                <w:rFonts w:cstheme="minorHAnsi"/>
              </w:rPr>
            </w:pPr>
            <w:r w:rsidRPr="00413131">
              <w:rPr>
                <w:rFonts w:cstheme="minorHAnsi"/>
                <w:color w:val="000000"/>
              </w:rPr>
              <w:t>x</w:t>
            </w:r>
          </w:p>
        </w:tc>
        <w:tc>
          <w:tcPr>
            <w:tcW w:w="851" w:type="dxa"/>
            <w:shd w:val="clear" w:color="auto" w:fill="auto"/>
            <w:vAlign w:val="center"/>
          </w:tcPr>
          <w:p w14:paraId="36C48306" w14:textId="77777777" w:rsidR="00884DD1" w:rsidRPr="00413131" w:rsidRDefault="00884DD1" w:rsidP="00A63813">
            <w:pPr>
              <w:spacing w:after="0" w:line="240" w:lineRule="auto"/>
              <w:jc w:val="center"/>
              <w:rPr>
                <w:rFonts w:cstheme="minorHAnsi"/>
              </w:rPr>
            </w:pPr>
            <w:r w:rsidRPr="00413131">
              <w:rPr>
                <w:rFonts w:cstheme="minorHAnsi"/>
                <w:color w:val="000000"/>
              </w:rPr>
              <w:t>x</w:t>
            </w:r>
          </w:p>
        </w:tc>
        <w:tc>
          <w:tcPr>
            <w:tcW w:w="992" w:type="dxa"/>
            <w:shd w:val="clear" w:color="auto" w:fill="auto"/>
            <w:vAlign w:val="center"/>
          </w:tcPr>
          <w:p w14:paraId="2BE35286" w14:textId="77777777" w:rsidR="00884DD1" w:rsidRPr="00413131" w:rsidRDefault="00884DD1" w:rsidP="00A63813">
            <w:pPr>
              <w:spacing w:after="0" w:line="240" w:lineRule="auto"/>
              <w:jc w:val="center"/>
              <w:rPr>
                <w:rFonts w:cstheme="minorHAnsi"/>
              </w:rPr>
            </w:pPr>
            <w:r w:rsidRPr="00413131">
              <w:rPr>
                <w:rFonts w:cstheme="minorHAnsi"/>
                <w:color w:val="000000"/>
              </w:rPr>
              <w:t>x</w:t>
            </w:r>
          </w:p>
        </w:tc>
        <w:tc>
          <w:tcPr>
            <w:tcW w:w="850" w:type="dxa"/>
            <w:shd w:val="clear" w:color="auto" w:fill="auto"/>
            <w:vAlign w:val="center"/>
          </w:tcPr>
          <w:p w14:paraId="4AE1B43F" w14:textId="77777777" w:rsidR="00884DD1" w:rsidRPr="00413131" w:rsidRDefault="00884DD1" w:rsidP="00A63813">
            <w:pPr>
              <w:spacing w:after="0" w:line="240" w:lineRule="auto"/>
              <w:jc w:val="center"/>
              <w:rPr>
                <w:rFonts w:cstheme="minorHAnsi"/>
              </w:rPr>
            </w:pPr>
            <w:r w:rsidRPr="00413131">
              <w:rPr>
                <w:rFonts w:cstheme="minorHAnsi"/>
                <w:color w:val="000000"/>
              </w:rPr>
              <w:t>x</w:t>
            </w:r>
          </w:p>
        </w:tc>
        <w:tc>
          <w:tcPr>
            <w:tcW w:w="851" w:type="dxa"/>
            <w:shd w:val="clear" w:color="auto" w:fill="auto"/>
            <w:vAlign w:val="center"/>
          </w:tcPr>
          <w:p w14:paraId="4FCCBF5C" w14:textId="77777777" w:rsidR="00884DD1" w:rsidRPr="00413131" w:rsidRDefault="00884DD1" w:rsidP="00A63813">
            <w:pPr>
              <w:spacing w:after="0" w:line="240" w:lineRule="auto"/>
              <w:jc w:val="center"/>
              <w:rPr>
                <w:rFonts w:cstheme="minorHAnsi"/>
              </w:rPr>
            </w:pPr>
            <w:r w:rsidRPr="00413131">
              <w:rPr>
                <w:rFonts w:cstheme="minorHAnsi"/>
                <w:color w:val="000000"/>
              </w:rPr>
              <w:t>x</w:t>
            </w:r>
          </w:p>
        </w:tc>
        <w:tc>
          <w:tcPr>
            <w:tcW w:w="850" w:type="dxa"/>
            <w:shd w:val="clear" w:color="auto" w:fill="auto"/>
            <w:vAlign w:val="center"/>
          </w:tcPr>
          <w:p w14:paraId="7CD60A87" w14:textId="77777777" w:rsidR="00884DD1" w:rsidRPr="00413131" w:rsidRDefault="00884DD1" w:rsidP="00A63813">
            <w:pPr>
              <w:spacing w:after="0" w:line="240" w:lineRule="auto"/>
              <w:jc w:val="center"/>
              <w:rPr>
                <w:rFonts w:cstheme="minorHAnsi"/>
              </w:rPr>
            </w:pPr>
            <w:r w:rsidRPr="00413131">
              <w:rPr>
                <w:rFonts w:cstheme="minorHAnsi"/>
                <w:color w:val="000000"/>
              </w:rPr>
              <w:t>x</w:t>
            </w:r>
          </w:p>
        </w:tc>
        <w:tc>
          <w:tcPr>
            <w:tcW w:w="851" w:type="dxa"/>
            <w:shd w:val="clear" w:color="auto" w:fill="auto"/>
            <w:vAlign w:val="center"/>
          </w:tcPr>
          <w:p w14:paraId="3A5EE2A4" w14:textId="77777777" w:rsidR="00884DD1" w:rsidRPr="00413131" w:rsidRDefault="00884DD1" w:rsidP="00A63813">
            <w:pPr>
              <w:spacing w:after="0" w:line="240" w:lineRule="auto"/>
              <w:jc w:val="center"/>
              <w:rPr>
                <w:rFonts w:cstheme="minorHAnsi"/>
              </w:rPr>
            </w:pPr>
            <w:r w:rsidRPr="00413131">
              <w:rPr>
                <w:rFonts w:cstheme="minorHAnsi"/>
                <w:color w:val="000000"/>
              </w:rPr>
              <w:t>x</w:t>
            </w:r>
          </w:p>
        </w:tc>
        <w:tc>
          <w:tcPr>
            <w:tcW w:w="1417" w:type="dxa"/>
            <w:shd w:val="clear" w:color="auto" w:fill="auto"/>
            <w:vAlign w:val="center"/>
          </w:tcPr>
          <w:p w14:paraId="65298252" w14:textId="77777777" w:rsidR="00884DD1" w:rsidRPr="00413131" w:rsidRDefault="00884DD1" w:rsidP="00A63813">
            <w:pPr>
              <w:spacing w:after="0" w:line="240" w:lineRule="auto"/>
              <w:jc w:val="center"/>
              <w:rPr>
                <w:rFonts w:cstheme="minorHAnsi"/>
              </w:rPr>
            </w:pPr>
            <w:r w:rsidRPr="00413131">
              <w:rPr>
                <w:rFonts w:cstheme="minorHAnsi"/>
                <w:color w:val="000000"/>
              </w:rPr>
              <w:t>x</w:t>
            </w:r>
          </w:p>
        </w:tc>
      </w:tr>
      <w:tr w:rsidR="00884DD1" w:rsidRPr="00413131" w14:paraId="02B42AE8" w14:textId="77777777" w:rsidTr="00A63813">
        <w:trPr>
          <w:trHeight w:val="300"/>
        </w:trPr>
        <w:tc>
          <w:tcPr>
            <w:tcW w:w="14062" w:type="dxa"/>
            <w:gridSpan w:val="12"/>
            <w:shd w:val="clear" w:color="auto" w:fill="auto"/>
            <w:vAlign w:val="center"/>
          </w:tcPr>
          <w:p w14:paraId="418ABE52" w14:textId="77777777" w:rsidR="00884DD1" w:rsidRPr="00413131" w:rsidRDefault="00884DD1" w:rsidP="00A63813">
            <w:pPr>
              <w:spacing w:after="0" w:line="240" w:lineRule="auto"/>
              <w:jc w:val="center"/>
              <w:rPr>
                <w:rFonts w:cstheme="minorHAnsi"/>
              </w:rPr>
            </w:pPr>
            <w:r w:rsidRPr="00413131">
              <w:rPr>
                <w:rFonts w:cstheme="minorHAnsi"/>
                <w:b/>
                <w:color w:val="000000"/>
              </w:rPr>
              <w:t>Strefa zewnętrzna</w:t>
            </w:r>
          </w:p>
        </w:tc>
      </w:tr>
      <w:tr w:rsidR="00884DD1" w:rsidRPr="00413131" w14:paraId="6E493B4D" w14:textId="77777777" w:rsidTr="00A63813">
        <w:trPr>
          <w:trHeight w:val="300"/>
        </w:trPr>
        <w:tc>
          <w:tcPr>
            <w:tcW w:w="1447" w:type="dxa"/>
            <w:shd w:val="clear" w:color="auto" w:fill="auto"/>
            <w:vAlign w:val="center"/>
          </w:tcPr>
          <w:p w14:paraId="54DEB4F6" w14:textId="77777777" w:rsidR="00884DD1" w:rsidRPr="00413131" w:rsidRDefault="00884DD1" w:rsidP="00A63813">
            <w:pPr>
              <w:spacing w:after="0" w:line="240" w:lineRule="auto"/>
              <w:jc w:val="center"/>
              <w:rPr>
                <w:rFonts w:cstheme="minorHAnsi"/>
              </w:rPr>
            </w:pPr>
            <w:r>
              <w:rPr>
                <w:rFonts w:cstheme="minorHAnsi"/>
              </w:rPr>
              <w:t>Bolesław</w:t>
            </w:r>
          </w:p>
        </w:tc>
        <w:tc>
          <w:tcPr>
            <w:tcW w:w="1701" w:type="dxa"/>
            <w:shd w:val="clear" w:color="auto" w:fill="auto"/>
            <w:vAlign w:val="center"/>
          </w:tcPr>
          <w:p w14:paraId="7ED1216D" w14:textId="77777777" w:rsidR="00884DD1" w:rsidRPr="00413131" w:rsidRDefault="00884DD1" w:rsidP="00A63813">
            <w:pPr>
              <w:spacing w:after="0" w:line="240" w:lineRule="auto"/>
              <w:jc w:val="center"/>
              <w:rPr>
                <w:rFonts w:cstheme="minorHAnsi"/>
              </w:rPr>
            </w:pPr>
            <w:r>
              <w:rPr>
                <w:rFonts w:cstheme="minorHAnsi"/>
                <w:color w:val="000000"/>
              </w:rPr>
              <w:t>w</w:t>
            </w:r>
          </w:p>
        </w:tc>
        <w:tc>
          <w:tcPr>
            <w:tcW w:w="1417" w:type="dxa"/>
            <w:shd w:val="clear" w:color="auto" w:fill="auto"/>
          </w:tcPr>
          <w:p w14:paraId="37FC3E32" w14:textId="77777777" w:rsidR="00884DD1" w:rsidRPr="00413131" w:rsidRDefault="00884DD1" w:rsidP="00A63813">
            <w:pPr>
              <w:spacing w:after="0" w:line="240" w:lineRule="auto"/>
              <w:jc w:val="center"/>
              <w:rPr>
                <w:rFonts w:cstheme="minorHAnsi"/>
              </w:rPr>
            </w:pPr>
            <w:r w:rsidRPr="000F564F">
              <w:t xml:space="preserve"> 40,8    </w:t>
            </w:r>
          </w:p>
        </w:tc>
        <w:tc>
          <w:tcPr>
            <w:tcW w:w="1985" w:type="dxa"/>
            <w:shd w:val="clear" w:color="auto" w:fill="auto"/>
          </w:tcPr>
          <w:p w14:paraId="62EAD7B5" w14:textId="77777777" w:rsidR="00884DD1" w:rsidRPr="00413131" w:rsidRDefault="00884DD1" w:rsidP="00A63813">
            <w:pPr>
              <w:spacing w:after="0" w:line="240" w:lineRule="auto"/>
              <w:jc w:val="center"/>
              <w:rPr>
                <w:rFonts w:cstheme="minorHAnsi"/>
              </w:rPr>
            </w:pPr>
            <w:r w:rsidRPr="00D51EB2">
              <w:t>7 810</w:t>
            </w:r>
          </w:p>
        </w:tc>
        <w:tc>
          <w:tcPr>
            <w:tcW w:w="850" w:type="dxa"/>
            <w:shd w:val="clear" w:color="auto" w:fill="FFFFFF" w:themeFill="background1"/>
          </w:tcPr>
          <w:p w14:paraId="666228E5" w14:textId="77777777" w:rsidR="00884DD1" w:rsidRPr="00413131" w:rsidRDefault="00884DD1" w:rsidP="00A63813">
            <w:pPr>
              <w:spacing w:after="0" w:line="240" w:lineRule="auto"/>
              <w:jc w:val="center"/>
              <w:rPr>
                <w:rFonts w:cstheme="minorHAnsi"/>
              </w:rPr>
            </w:pPr>
            <w:r w:rsidRPr="00273A80">
              <w:t>49,7</w:t>
            </w:r>
          </w:p>
        </w:tc>
        <w:tc>
          <w:tcPr>
            <w:tcW w:w="851" w:type="dxa"/>
            <w:shd w:val="clear" w:color="auto" w:fill="FFFFFF" w:themeFill="background1"/>
          </w:tcPr>
          <w:p w14:paraId="5EC7D9D7" w14:textId="77777777" w:rsidR="00884DD1" w:rsidRPr="00413131" w:rsidRDefault="00884DD1" w:rsidP="00A63813">
            <w:pPr>
              <w:spacing w:after="0" w:line="240" w:lineRule="auto"/>
              <w:jc w:val="center"/>
              <w:rPr>
                <w:rFonts w:cstheme="minorHAnsi"/>
              </w:rPr>
            </w:pPr>
            <w:r w:rsidRPr="005401A7">
              <w:t>2,7</w:t>
            </w:r>
          </w:p>
        </w:tc>
        <w:tc>
          <w:tcPr>
            <w:tcW w:w="992" w:type="dxa"/>
            <w:shd w:val="clear" w:color="auto" w:fill="D9D9D9" w:themeFill="background1" w:themeFillShade="D9"/>
          </w:tcPr>
          <w:p w14:paraId="33FD0897" w14:textId="77777777" w:rsidR="00884DD1" w:rsidRPr="00413131" w:rsidRDefault="00884DD1" w:rsidP="00A63813">
            <w:pPr>
              <w:spacing w:after="0" w:line="240" w:lineRule="auto"/>
              <w:jc w:val="center"/>
              <w:rPr>
                <w:rFonts w:cstheme="minorHAnsi"/>
              </w:rPr>
            </w:pPr>
            <w:r w:rsidRPr="00F36C53">
              <w:t>100,2</w:t>
            </w:r>
          </w:p>
        </w:tc>
        <w:tc>
          <w:tcPr>
            <w:tcW w:w="850" w:type="dxa"/>
            <w:shd w:val="clear" w:color="auto" w:fill="FFFFFF" w:themeFill="background1"/>
          </w:tcPr>
          <w:p w14:paraId="0D3F4986" w14:textId="77777777" w:rsidR="00884DD1" w:rsidRPr="00413131" w:rsidRDefault="00884DD1" w:rsidP="00A63813">
            <w:pPr>
              <w:spacing w:after="0" w:line="240" w:lineRule="auto"/>
              <w:jc w:val="center"/>
              <w:rPr>
                <w:rFonts w:cstheme="minorHAnsi"/>
              </w:rPr>
            </w:pPr>
            <w:r w:rsidRPr="00324469">
              <w:t>73,3</w:t>
            </w:r>
          </w:p>
        </w:tc>
        <w:tc>
          <w:tcPr>
            <w:tcW w:w="851" w:type="dxa"/>
            <w:shd w:val="clear" w:color="auto" w:fill="D9D9D9" w:themeFill="background1" w:themeFillShade="D9"/>
          </w:tcPr>
          <w:p w14:paraId="4FF443CA" w14:textId="77777777" w:rsidR="00884DD1" w:rsidRPr="00413131" w:rsidRDefault="00884DD1" w:rsidP="00A63813">
            <w:pPr>
              <w:spacing w:after="0" w:line="240" w:lineRule="auto"/>
              <w:jc w:val="center"/>
              <w:rPr>
                <w:rFonts w:cstheme="minorHAnsi"/>
              </w:rPr>
            </w:pPr>
            <w:r w:rsidRPr="00661780">
              <w:t>98,5</w:t>
            </w:r>
          </w:p>
        </w:tc>
        <w:tc>
          <w:tcPr>
            <w:tcW w:w="850" w:type="dxa"/>
            <w:shd w:val="clear" w:color="auto" w:fill="D9D9D9" w:themeFill="background1" w:themeFillShade="D9"/>
          </w:tcPr>
          <w:p w14:paraId="68D9795E" w14:textId="77777777" w:rsidR="00884DD1" w:rsidRPr="00413131" w:rsidRDefault="00884DD1" w:rsidP="00A63813">
            <w:pPr>
              <w:spacing w:after="0" w:line="240" w:lineRule="auto"/>
              <w:jc w:val="center"/>
              <w:rPr>
                <w:rFonts w:cstheme="minorHAnsi"/>
              </w:rPr>
            </w:pPr>
            <w:r w:rsidRPr="004F05CC">
              <w:t>103,8</w:t>
            </w:r>
          </w:p>
        </w:tc>
        <w:tc>
          <w:tcPr>
            <w:tcW w:w="851" w:type="dxa"/>
            <w:shd w:val="clear" w:color="auto" w:fill="FFFFFF" w:themeFill="background1"/>
          </w:tcPr>
          <w:p w14:paraId="7A11F4F2" w14:textId="77777777" w:rsidR="00884DD1" w:rsidRPr="00413131" w:rsidRDefault="00884DD1" w:rsidP="00A63813">
            <w:pPr>
              <w:spacing w:after="0" w:line="240" w:lineRule="auto"/>
              <w:jc w:val="center"/>
              <w:rPr>
                <w:rFonts w:cstheme="minorHAnsi"/>
              </w:rPr>
            </w:pPr>
            <w:r w:rsidRPr="00380CB2">
              <w:t>10,3</w:t>
            </w:r>
          </w:p>
        </w:tc>
        <w:tc>
          <w:tcPr>
            <w:tcW w:w="1417" w:type="dxa"/>
            <w:shd w:val="clear" w:color="auto" w:fill="auto"/>
            <w:vAlign w:val="center"/>
          </w:tcPr>
          <w:p w14:paraId="1DEED40A" w14:textId="77777777" w:rsidR="00884DD1" w:rsidRPr="00413131" w:rsidRDefault="00884DD1" w:rsidP="00A63813">
            <w:pPr>
              <w:spacing w:after="0" w:line="240" w:lineRule="auto"/>
              <w:jc w:val="center"/>
              <w:rPr>
                <w:rFonts w:cstheme="minorHAnsi"/>
              </w:rPr>
            </w:pPr>
            <w:r>
              <w:rPr>
                <w:rFonts w:cstheme="minorHAnsi"/>
              </w:rPr>
              <w:t>3/7</w:t>
            </w:r>
          </w:p>
        </w:tc>
      </w:tr>
      <w:tr w:rsidR="00884DD1" w:rsidRPr="00413131" w14:paraId="5E0EADA1" w14:textId="77777777" w:rsidTr="00A63813">
        <w:trPr>
          <w:trHeight w:val="300"/>
        </w:trPr>
        <w:tc>
          <w:tcPr>
            <w:tcW w:w="1447" w:type="dxa"/>
            <w:shd w:val="clear" w:color="auto" w:fill="auto"/>
            <w:vAlign w:val="center"/>
          </w:tcPr>
          <w:p w14:paraId="0A74F79B" w14:textId="77777777" w:rsidR="00884DD1" w:rsidRPr="00413131" w:rsidRDefault="00884DD1" w:rsidP="00A63813">
            <w:pPr>
              <w:spacing w:after="0" w:line="240" w:lineRule="auto"/>
              <w:jc w:val="center"/>
              <w:rPr>
                <w:rFonts w:cstheme="minorHAnsi"/>
              </w:rPr>
            </w:pPr>
            <w:r>
              <w:rPr>
                <w:rFonts w:cstheme="minorHAnsi"/>
              </w:rPr>
              <w:t>Klucze</w:t>
            </w:r>
          </w:p>
        </w:tc>
        <w:tc>
          <w:tcPr>
            <w:tcW w:w="1701" w:type="dxa"/>
            <w:shd w:val="clear" w:color="auto" w:fill="auto"/>
            <w:vAlign w:val="center"/>
          </w:tcPr>
          <w:p w14:paraId="444BA7E3" w14:textId="77777777" w:rsidR="00884DD1" w:rsidRPr="00413131" w:rsidRDefault="00884DD1" w:rsidP="00A63813">
            <w:pPr>
              <w:spacing w:after="0" w:line="240" w:lineRule="auto"/>
              <w:jc w:val="center"/>
              <w:rPr>
                <w:rFonts w:cstheme="minorHAnsi"/>
              </w:rPr>
            </w:pPr>
            <w:r w:rsidRPr="00413131">
              <w:rPr>
                <w:rFonts w:cstheme="minorHAnsi"/>
                <w:color w:val="000000"/>
              </w:rPr>
              <w:t>w</w:t>
            </w:r>
          </w:p>
        </w:tc>
        <w:tc>
          <w:tcPr>
            <w:tcW w:w="1417" w:type="dxa"/>
            <w:shd w:val="clear" w:color="auto" w:fill="auto"/>
          </w:tcPr>
          <w:p w14:paraId="25747A3F" w14:textId="77777777" w:rsidR="00884DD1" w:rsidRPr="00413131" w:rsidRDefault="00884DD1" w:rsidP="00A63813">
            <w:pPr>
              <w:spacing w:after="0" w:line="240" w:lineRule="auto"/>
              <w:jc w:val="center"/>
              <w:rPr>
                <w:rFonts w:cstheme="minorHAnsi"/>
              </w:rPr>
            </w:pPr>
            <w:r w:rsidRPr="000F564F">
              <w:t xml:space="preserve"> 119,5    </w:t>
            </w:r>
          </w:p>
        </w:tc>
        <w:tc>
          <w:tcPr>
            <w:tcW w:w="1985" w:type="dxa"/>
            <w:shd w:val="clear" w:color="auto" w:fill="auto"/>
          </w:tcPr>
          <w:p w14:paraId="00828102" w14:textId="77777777" w:rsidR="00884DD1" w:rsidRPr="00413131" w:rsidRDefault="00884DD1" w:rsidP="00A63813">
            <w:pPr>
              <w:spacing w:after="0" w:line="240" w:lineRule="auto"/>
              <w:jc w:val="center"/>
              <w:rPr>
                <w:rFonts w:cstheme="minorHAnsi"/>
              </w:rPr>
            </w:pPr>
            <w:r w:rsidRPr="00D51EB2">
              <w:t>15 281</w:t>
            </w:r>
          </w:p>
        </w:tc>
        <w:tc>
          <w:tcPr>
            <w:tcW w:w="850" w:type="dxa"/>
            <w:shd w:val="clear" w:color="auto" w:fill="D9D9D9" w:themeFill="background1" w:themeFillShade="D9"/>
          </w:tcPr>
          <w:p w14:paraId="299BCD18" w14:textId="77777777" w:rsidR="00884DD1" w:rsidRPr="00413131" w:rsidRDefault="00884DD1" w:rsidP="00A63813">
            <w:pPr>
              <w:spacing w:after="0" w:line="240" w:lineRule="auto"/>
              <w:jc w:val="center"/>
              <w:rPr>
                <w:rFonts w:cstheme="minorHAnsi"/>
              </w:rPr>
            </w:pPr>
            <w:r w:rsidRPr="00273A80">
              <w:t>66,3</w:t>
            </w:r>
          </w:p>
        </w:tc>
        <w:tc>
          <w:tcPr>
            <w:tcW w:w="851" w:type="dxa"/>
            <w:shd w:val="clear" w:color="auto" w:fill="D9D9D9" w:themeFill="background1" w:themeFillShade="D9"/>
          </w:tcPr>
          <w:p w14:paraId="5917E15E" w14:textId="77777777" w:rsidR="00884DD1" w:rsidRPr="00413131" w:rsidRDefault="00884DD1" w:rsidP="00A63813">
            <w:pPr>
              <w:spacing w:after="0" w:line="240" w:lineRule="auto"/>
              <w:jc w:val="center"/>
              <w:rPr>
                <w:rFonts w:cstheme="minorHAnsi"/>
              </w:rPr>
            </w:pPr>
            <w:r w:rsidRPr="005401A7">
              <w:t>3,7</w:t>
            </w:r>
          </w:p>
        </w:tc>
        <w:tc>
          <w:tcPr>
            <w:tcW w:w="992" w:type="dxa"/>
            <w:shd w:val="clear" w:color="auto" w:fill="D9D9D9" w:themeFill="background1" w:themeFillShade="D9"/>
          </w:tcPr>
          <w:p w14:paraId="042DBBB7" w14:textId="77777777" w:rsidR="00884DD1" w:rsidRPr="00413131" w:rsidRDefault="00884DD1" w:rsidP="00A63813">
            <w:pPr>
              <w:spacing w:after="0" w:line="240" w:lineRule="auto"/>
              <w:jc w:val="center"/>
              <w:rPr>
                <w:rFonts w:cstheme="minorHAnsi"/>
              </w:rPr>
            </w:pPr>
            <w:r w:rsidRPr="00F36C53">
              <w:t>100,6</w:t>
            </w:r>
          </w:p>
        </w:tc>
        <w:tc>
          <w:tcPr>
            <w:tcW w:w="850" w:type="dxa"/>
            <w:shd w:val="clear" w:color="auto" w:fill="D9D9D9" w:themeFill="background1" w:themeFillShade="D9"/>
          </w:tcPr>
          <w:p w14:paraId="69870E21" w14:textId="77777777" w:rsidR="00884DD1" w:rsidRPr="00413131" w:rsidRDefault="00884DD1" w:rsidP="00A63813">
            <w:pPr>
              <w:spacing w:after="0" w:line="240" w:lineRule="auto"/>
              <w:jc w:val="center"/>
              <w:rPr>
                <w:rFonts w:cstheme="minorHAnsi"/>
              </w:rPr>
            </w:pPr>
            <w:r w:rsidRPr="00324469">
              <w:t>91,5</w:t>
            </w:r>
          </w:p>
        </w:tc>
        <w:tc>
          <w:tcPr>
            <w:tcW w:w="851" w:type="dxa"/>
            <w:shd w:val="clear" w:color="auto" w:fill="D9D9D9" w:themeFill="background1" w:themeFillShade="D9"/>
          </w:tcPr>
          <w:p w14:paraId="7D360018" w14:textId="77777777" w:rsidR="00884DD1" w:rsidRPr="00413131" w:rsidRDefault="00884DD1" w:rsidP="00A63813">
            <w:pPr>
              <w:spacing w:after="0" w:line="240" w:lineRule="auto"/>
              <w:jc w:val="center"/>
              <w:rPr>
                <w:rFonts w:cstheme="minorHAnsi"/>
              </w:rPr>
            </w:pPr>
            <w:r w:rsidRPr="00661780">
              <w:t>88,8</w:t>
            </w:r>
          </w:p>
        </w:tc>
        <w:tc>
          <w:tcPr>
            <w:tcW w:w="850" w:type="dxa"/>
            <w:shd w:val="clear" w:color="auto" w:fill="D9D9D9" w:themeFill="background1" w:themeFillShade="D9"/>
          </w:tcPr>
          <w:p w14:paraId="1BAE9F71" w14:textId="77777777" w:rsidR="00884DD1" w:rsidRPr="00413131" w:rsidRDefault="00884DD1" w:rsidP="00A63813">
            <w:pPr>
              <w:spacing w:after="0" w:line="240" w:lineRule="auto"/>
              <w:jc w:val="center"/>
              <w:rPr>
                <w:rFonts w:cstheme="minorHAnsi"/>
              </w:rPr>
            </w:pPr>
            <w:r w:rsidRPr="004F05CC">
              <w:t>78,0</w:t>
            </w:r>
          </w:p>
        </w:tc>
        <w:tc>
          <w:tcPr>
            <w:tcW w:w="851" w:type="dxa"/>
            <w:shd w:val="clear" w:color="auto" w:fill="FFFFFF" w:themeFill="background1"/>
          </w:tcPr>
          <w:p w14:paraId="15277C4F" w14:textId="77777777" w:rsidR="00884DD1" w:rsidRPr="00413131" w:rsidRDefault="00884DD1" w:rsidP="00A63813">
            <w:pPr>
              <w:spacing w:after="0" w:line="240" w:lineRule="auto"/>
              <w:jc w:val="center"/>
              <w:rPr>
                <w:rFonts w:cstheme="minorHAnsi"/>
              </w:rPr>
            </w:pPr>
            <w:r w:rsidRPr="00380CB2">
              <w:t>42,4</w:t>
            </w:r>
          </w:p>
        </w:tc>
        <w:tc>
          <w:tcPr>
            <w:tcW w:w="1417" w:type="dxa"/>
            <w:shd w:val="clear" w:color="auto" w:fill="auto"/>
            <w:vAlign w:val="center"/>
          </w:tcPr>
          <w:p w14:paraId="26D89667" w14:textId="77777777" w:rsidR="00884DD1" w:rsidRPr="00413131" w:rsidRDefault="00884DD1" w:rsidP="00A63813">
            <w:pPr>
              <w:keepNext/>
              <w:spacing w:after="0" w:line="240" w:lineRule="auto"/>
              <w:jc w:val="center"/>
              <w:rPr>
                <w:rFonts w:cstheme="minorHAnsi"/>
              </w:rPr>
            </w:pPr>
            <w:r>
              <w:rPr>
                <w:rFonts w:cstheme="minorHAnsi"/>
              </w:rPr>
              <w:t>6/7</w:t>
            </w:r>
          </w:p>
        </w:tc>
      </w:tr>
    </w:tbl>
    <w:bookmarkEnd w:id="5"/>
    <w:p w14:paraId="7427ECE0" w14:textId="77777777" w:rsidR="00884DD1" w:rsidRDefault="00884DD1" w:rsidP="00884DD1">
      <w:pPr>
        <w:pStyle w:val="Legenda"/>
      </w:pPr>
      <w:r>
        <w:t xml:space="preserve">Źródło: </w:t>
      </w:r>
      <w:r w:rsidRPr="001546A4">
        <w:t>opracowanie własne na podstawie danych BDL GUS i opracowań GUS.</w:t>
      </w:r>
    </w:p>
    <w:p w14:paraId="3AB74317" w14:textId="77777777" w:rsidR="00884DD1" w:rsidRDefault="00884DD1" w:rsidP="00884DD1">
      <w:pPr>
        <w:pStyle w:val="Legenda"/>
        <w:keepNext/>
        <w:spacing w:after="0"/>
      </w:pPr>
      <w:bookmarkStart w:id="6" w:name="_Toc181860164"/>
      <w:r>
        <w:t xml:space="preserve">Tabela </w:t>
      </w:r>
      <w:r w:rsidR="004D3018">
        <w:rPr>
          <w:noProof/>
        </w:rPr>
        <w:fldChar w:fldCharType="begin"/>
      </w:r>
      <w:r w:rsidR="004D3018">
        <w:rPr>
          <w:noProof/>
        </w:rPr>
        <w:instrText xml:space="preserve"> SEQ Tabela \* ARABIC </w:instrText>
      </w:r>
      <w:r w:rsidR="004D3018">
        <w:rPr>
          <w:noProof/>
        </w:rPr>
        <w:fldChar w:fldCharType="separate"/>
      </w:r>
      <w:r w:rsidR="003606AF">
        <w:rPr>
          <w:noProof/>
        </w:rPr>
        <w:t>3</w:t>
      </w:r>
      <w:r w:rsidR="004D3018">
        <w:rPr>
          <w:noProof/>
        </w:rPr>
        <w:fldChar w:fldCharType="end"/>
      </w:r>
      <w:r w:rsidRPr="001546A4">
        <w:t xml:space="preserve"> Wyniki delimitacji w oparciu o dane z</w:t>
      </w:r>
      <w:r>
        <w:t xml:space="preserve"> 2021 r., 2022 r. i 2023 r.</w:t>
      </w:r>
      <w:bookmarkEnd w:id="6"/>
    </w:p>
    <w:tbl>
      <w:tblPr>
        <w:tblW w:w="14347" w:type="dxa"/>
        <w:tblInd w:w="88" w:type="dxa"/>
        <w:tblBorders>
          <w:bottom w:val="single" w:sz="4" w:space="0" w:color="808080"/>
          <w:insideH w:val="single" w:sz="4" w:space="0" w:color="808080"/>
          <w:insideV w:val="single" w:sz="4" w:space="0" w:color="808080"/>
        </w:tblBorders>
        <w:tblLayout w:type="fixed"/>
        <w:tblLook w:val="0000" w:firstRow="0" w:lastRow="0" w:firstColumn="0" w:lastColumn="0" w:noHBand="0" w:noVBand="0"/>
      </w:tblPr>
      <w:tblGrid>
        <w:gridCol w:w="1305"/>
        <w:gridCol w:w="1701"/>
        <w:gridCol w:w="1417"/>
        <w:gridCol w:w="1418"/>
        <w:gridCol w:w="992"/>
        <w:gridCol w:w="851"/>
        <w:gridCol w:w="850"/>
        <w:gridCol w:w="851"/>
        <w:gridCol w:w="850"/>
        <w:gridCol w:w="851"/>
        <w:gridCol w:w="850"/>
        <w:gridCol w:w="1134"/>
        <w:gridCol w:w="1277"/>
      </w:tblGrid>
      <w:tr w:rsidR="00884DD1" w:rsidRPr="00413131" w14:paraId="286C6578" w14:textId="77777777" w:rsidTr="00A63813">
        <w:trPr>
          <w:trHeight w:val="300"/>
        </w:trPr>
        <w:tc>
          <w:tcPr>
            <w:tcW w:w="1305" w:type="dxa"/>
            <w:vMerge w:val="restart"/>
            <w:tcBorders>
              <w:top w:val="single" w:sz="4" w:space="0" w:color="FFFFFF"/>
              <w:left w:val="single" w:sz="4" w:space="0" w:color="FFFFFF"/>
              <w:bottom w:val="single" w:sz="4" w:space="0" w:color="FFFFFF"/>
              <w:right w:val="single" w:sz="4" w:space="0" w:color="FFFFFF"/>
            </w:tcBorders>
            <w:shd w:val="clear" w:color="auto" w:fill="D0E6F6" w:themeFill="accent6" w:themeFillTint="33"/>
            <w:vAlign w:val="center"/>
          </w:tcPr>
          <w:p w14:paraId="23958A9F" w14:textId="77777777" w:rsidR="00884DD1" w:rsidRPr="00413131" w:rsidRDefault="00884DD1" w:rsidP="00A63813">
            <w:pPr>
              <w:spacing w:after="0" w:line="240" w:lineRule="auto"/>
              <w:jc w:val="center"/>
              <w:rPr>
                <w:rFonts w:cstheme="minorHAnsi"/>
              </w:rPr>
            </w:pPr>
            <w:r>
              <w:rPr>
                <w:rFonts w:cstheme="minorHAnsi"/>
                <w:bCs/>
                <w:color w:val="000000"/>
              </w:rPr>
              <w:t>Gmina</w:t>
            </w:r>
          </w:p>
        </w:tc>
        <w:tc>
          <w:tcPr>
            <w:tcW w:w="1701" w:type="dxa"/>
            <w:vMerge w:val="restart"/>
            <w:tcBorders>
              <w:top w:val="single" w:sz="4" w:space="0" w:color="FFFFFF"/>
              <w:left w:val="single" w:sz="4" w:space="0" w:color="FFFFFF"/>
              <w:bottom w:val="single" w:sz="4" w:space="0" w:color="FFFFFF"/>
              <w:right w:val="single" w:sz="4" w:space="0" w:color="FFFFFF"/>
            </w:tcBorders>
            <w:shd w:val="clear" w:color="auto" w:fill="D0E6F6" w:themeFill="accent6" w:themeFillTint="33"/>
            <w:vAlign w:val="center"/>
          </w:tcPr>
          <w:p w14:paraId="3AF3B141" w14:textId="77777777" w:rsidR="00884DD1" w:rsidRPr="00413131" w:rsidRDefault="00884DD1" w:rsidP="00A63813">
            <w:pPr>
              <w:spacing w:after="0" w:line="240" w:lineRule="auto"/>
              <w:jc w:val="center"/>
              <w:rPr>
                <w:rFonts w:cstheme="minorHAnsi"/>
                <w:bCs/>
                <w:color w:val="000000"/>
              </w:rPr>
            </w:pPr>
            <w:r w:rsidRPr="00413131">
              <w:rPr>
                <w:rFonts w:cstheme="minorHAnsi"/>
                <w:bCs/>
                <w:color w:val="000000"/>
              </w:rPr>
              <w:t>B - typ administracyjny gminy</w:t>
            </w:r>
          </w:p>
        </w:tc>
        <w:tc>
          <w:tcPr>
            <w:tcW w:w="1417" w:type="dxa"/>
            <w:vMerge w:val="restart"/>
            <w:tcBorders>
              <w:top w:val="single" w:sz="4" w:space="0" w:color="FFFFFF"/>
              <w:left w:val="single" w:sz="4" w:space="0" w:color="FFFFFF"/>
              <w:bottom w:val="single" w:sz="4" w:space="0" w:color="FFFFFF"/>
              <w:right w:val="single" w:sz="4" w:space="0" w:color="FFFFFF"/>
            </w:tcBorders>
            <w:shd w:val="clear" w:color="auto" w:fill="D0E6F6" w:themeFill="accent6" w:themeFillTint="33"/>
            <w:vAlign w:val="center"/>
          </w:tcPr>
          <w:p w14:paraId="31E3ECFF" w14:textId="77777777" w:rsidR="00884DD1" w:rsidRPr="00413131" w:rsidRDefault="00884DD1" w:rsidP="00A63813">
            <w:pPr>
              <w:spacing w:after="0" w:line="240" w:lineRule="auto"/>
              <w:jc w:val="center"/>
              <w:rPr>
                <w:rFonts w:cstheme="minorHAnsi"/>
              </w:rPr>
            </w:pPr>
            <w:r w:rsidRPr="00413131">
              <w:rPr>
                <w:rFonts w:cstheme="minorHAnsi"/>
                <w:bCs/>
                <w:color w:val="000000"/>
              </w:rPr>
              <w:t>Powierzchnia (km</w:t>
            </w:r>
            <w:r w:rsidRPr="00413131">
              <w:rPr>
                <w:rFonts w:cstheme="minorHAnsi"/>
                <w:bCs/>
                <w:color w:val="000000"/>
                <w:vertAlign w:val="superscript"/>
              </w:rPr>
              <w:t>2</w:t>
            </w:r>
            <w:r w:rsidRPr="00413131">
              <w:rPr>
                <w:rFonts w:cstheme="minorHAnsi"/>
                <w:bCs/>
                <w:color w:val="000000"/>
              </w:rPr>
              <w:t>)</w:t>
            </w:r>
          </w:p>
        </w:tc>
        <w:tc>
          <w:tcPr>
            <w:tcW w:w="1418" w:type="dxa"/>
            <w:vMerge w:val="restart"/>
            <w:tcBorders>
              <w:top w:val="single" w:sz="4" w:space="0" w:color="FFFFFF"/>
              <w:left w:val="single" w:sz="4" w:space="0" w:color="FFFFFF"/>
              <w:bottom w:val="single" w:sz="4" w:space="0" w:color="FFFFFF"/>
              <w:right w:val="single" w:sz="4" w:space="0" w:color="FFFFFF"/>
            </w:tcBorders>
            <w:shd w:val="clear" w:color="auto" w:fill="D0E6F6" w:themeFill="accent6" w:themeFillTint="33"/>
            <w:vAlign w:val="center"/>
          </w:tcPr>
          <w:p w14:paraId="1007B913" w14:textId="77777777" w:rsidR="00884DD1" w:rsidRPr="00413131" w:rsidRDefault="00884DD1" w:rsidP="00A63813">
            <w:pPr>
              <w:spacing w:after="0" w:line="240" w:lineRule="auto"/>
              <w:jc w:val="center"/>
              <w:rPr>
                <w:rFonts w:cstheme="minorHAnsi"/>
              </w:rPr>
            </w:pPr>
            <w:r w:rsidRPr="00413131">
              <w:rPr>
                <w:rFonts w:cstheme="minorHAnsi"/>
                <w:bCs/>
                <w:color w:val="000000"/>
              </w:rPr>
              <w:t>Liczba mieszkańców</w:t>
            </w:r>
          </w:p>
        </w:tc>
        <w:tc>
          <w:tcPr>
            <w:tcW w:w="6095" w:type="dxa"/>
            <w:gridSpan w:val="7"/>
            <w:tcBorders>
              <w:top w:val="single" w:sz="4" w:space="0" w:color="FFFFFF"/>
              <w:left w:val="single" w:sz="4" w:space="0" w:color="FFFFFF"/>
              <w:bottom w:val="single" w:sz="4" w:space="0" w:color="FFFFFF"/>
              <w:right w:val="single" w:sz="4" w:space="0" w:color="FFFFFF"/>
            </w:tcBorders>
            <w:shd w:val="clear" w:color="auto" w:fill="D0E6F6" w:themeFill="accent6" w:themeFillTint="33"/>
            <w:vAlign w:val="center"/>
          </w:tcPr>
          <w:p w14:paraId="1353B77E" w14:textId="77777777" w:rsidR="00884DD1" w:rsidRPr="00413131" w:rsidRDefault="00884DD1" w:rsidP="00A63813">
            <w:pPr>
              <w:spacing w:after="0" w:line="240" w:lineRule="auto"/>
              <w:jc w:val="center"/>
              <w:rPr>
                <w:rFonts w:cstheme="minorHAnsi"/>
              </w:rPr>
            </w:pPr>
            <w:r w:rsidRPr="00413131">
              <w:rPr>
                <w:rFonts w:cstheme="minorHAnsi"/>
                <w:bCs/>
                <w:color w:val="000000"/>
              </w:rPr>
              <w:t>Wartość wskaźników</w:t>
            </w:r>
          </w:p>
        </w:tc>
        <w:tc>
          <w:tcPr>
            <w:tcW w:w="2411" w:type="dxa"/>
            <w:gridSpan w:val="2"/>
            <w:vMerge w:val="restart"/>
            <w:tcBorders>
              <w:top w:val="single" w:sz="4" w:space="0" w:color="FFFFFF"/>
              <w:left w:val="single" w:sz="4" w:space="0" w:color="FFFFFF"/>
              <w:right w:val="single" w:sz="4" w:space="0" w:color="FFFFFF"/>
            </w:tcBorders>
            <w:shd w:val="clear" w:color="auto" w:fill="D0E6F6" w:themeFill="accent6" w:themeFillTint="33"/>
            <w:vAlign w:val="center"/>
          </w:tcPr>
          <w:p w14:paraId="0DB308FC" w14:textId="77777777" w:rsidR="00884DD1" w:rsidRPr="00413131" w:rsidRDefault="00884DD1" w:rsidP="00A63813">
            <w:pPr>
              <w:spacing w:after="0" w:line="240" w:lineRule="auto"/>
              <w:jc w:val="center"/>
              <w:rPr>
                <w:rFonts w:cstheme="minorHAnsi"/>
                <w:bCs/>
                <w:color w:val="000000"/>
              </w:rPr>
            </w:pPr>
            <w:r>
              <w:rPr>
                <w:rFonts w:cstheme="minorHAnsi"/>
                <w:bCs/>
                <w:color w:val="000000"/>
              </w:rPr>
              <w:t>L</w:t>
            </w:r>
            <w:r w:rsidRPr="00413131">
              <w:rPr>
                <w:rFonts w:cstheme="minorHAnsi"/>
                <w:bCs/>
                <w:color w:val="000000"/>
              </w:rPr>
              <w:t>iczba spełnionych minimalnych kryteriów</w:t>
            </w:r>
          </w:p>
        </w:tc>
      </w:tr>
      <w:tr w:rsidR="00884DD1" w:rsidRPr="00413131" w14:paraId="5489EE7C" w14:textId="77777777" w:rsidTr="00A63813">
        <w:trPr>
          <w:trHeight w:val="900"/>
        </w:trPr>
        <w:tc>
          <w:tcPr>
            <w:tcW w:w="1305" w:type="dxa"/>
            <w:vMerge/>
            <w:tcBorders>
              <w:top w:val="single" w:sz="4" w:space="0" w:color="FFFFFF"/>
              <w:left w:val="single" w:sz="4" w:space="0" w:color="FFFFFF"/>
              <w:bottom w:val="single" w:sz="4" w:space="0" w:color="FFFFFF"/>
              <w:right w:val="single" w:sz="4" w:space="0" w:color="FFFFFF"/>
            </w:tcBorders>
            <w:shd w:val="clear" w:color="auto" w:fill="D0E6F6" w:themeFill="accent6" w:themeFillTint="33"/>
            <w:vAlign w:val="center"/>
          </w:tcPr>
          <w:p w14:paraId="617D6FBA" w14:textId="77777777" w:rsidR="00884DD1" w:rsidRPr="00413131" w:rsidRDefault="00884DD1" w:rsidP="00A63813">
            <w:pPr>
              <w:spacing w:after="0" w:line="240" w:lineRule="auto"/>
              <w:jc w:val="center"/>
              <w:rPr>
                <w:rFonts w:cstheme="minorHAnsi"/>
                <w:b/>
                <w:bCs/>
                <w:color w:val="000000"/>
              </w:rPr>
            </w:pPr>
          </w:p>
        </w:tc>
        <w:tc>
          <w:tcPr>
            <w:tcW w:w="1701" w:type="dxa"/>
            <w:vMerge/>
            <w:tcBorders>
              <w:top w:val="single" w:sz="4" w:space="0" w:color="FFFFFF"/>
              <w:left w:val="single" w:sz="4" w:space="0" w:color="FFFFFF"/>
              <w:bottom w:val="single" w:sz="4" w:space="0" w:color="FFFFFF"/>
              <w:right w:val="single" w:sz="4" w:space="0" w:color="FFFFFF"/>
            </w:tcBorders>
            <w:shd w:val="clear" w:color="auto" w:fill="D0E6F6" w:themeFill="accent6" w:themeFillTint="33"/>
            <w:vAlign w:val="center"/>
          </w:tcPr>
          <w:p w14:paraId="2434292F" w14:textId="77777777" w:rsidR="00884DD1" w:rsidRPr="00413131" w:rsidRDefault="00884DD1" w:rsidP="00A63813">
            <w:pPr>
              <w:spacing w:after="0" w:line="240" w:lineRule="auto"/>
              <w:jc w:val="center"/>
              <w:rPr>
                <w:rFonts w:cstheme="minorHAnsi"/>
                <w:b/>
                <w:bCs/>
                <w:color w:val="000000"/>
              </w:rPr>
            </w:pPr>
          </w:p>
        </w:tc>
        <w:tc>
          <w:tcPr>
            <w:tcW w:w="1417" w:type="dxa"/>
            <w:vMerge/>
            <w:tcBorders>
              <w:top w:val="single" w:sz="4" w:space="0" w:color="FFFFFF"/>
              <w:left w:val="single" w:sz="4" w:space="0" w:color="FFFFFF"/>
              <w:bottom w:val="single" w:sz="4" w:space="0" w:color="FFFFFF"/>
              <w:right w:val="single" w:sz="4" w:space="0" w:color="FFFFFF"/>
            </w:tcBorders>
            <w:shd w:val="clear" w:color="auto" w:fill="D0E6F6" w:themeFill="accent6" w:themeFillTint="33"/>
            <w:vAlign w:val="center"/>
          </w:tcPr>
          <w:p w14:paraId="001CB829" w14:textId="77777777" w:rsidR="00884DD1" w:rsidRPr="00413131" w:rsidRDefault="00884DD1" w:rsidP="00A63813">
            <w:pPr>
              <w:spacing w:after="0" w:line="240" w:lineRule="auto"/>
              <w:jc w:val="center"/>
              <w:rPr>
                <w:rFonts w:cstheme="minorHAnsi"/>
                <w:b/>
                <w:bCs/>
                <w:color w:val="000000"/>
              </w:rPr>
            </w:pPr>
          </w:p>
        </w:tc>
        <w:tc>
          <w:tcPr>
            <w:tcW w:w="1418" w:type="dxa"/>
            <w:vMerge/>
            <w:tcBorders>
              <w:top w:val="single" w:sz="4" w:space="0" w:color="FFFFFF"/>
              <w:left w:val="single" w:sz="4" w:space="0" w:color="FFFFFF"/>
              <w:bottom w:val="single" w:sz="4" w:space="0" w:color="FFFFFF"/>
              <w:right w:val="single" w:sz="4" w:space="0" w:color="FFFFFF"/>
            </w:tcBorders>
            <w:shd w:val="clear" w:color="auto" w:fill="D0E6F6" w:themeFill="accent6" w:themeFillTint="33"/>
            <w:vAlign w:val="center"/>
          </w:tcPr>
          <w:p w14:paraId="68D1A654" w14:textId="77777777" w:rsidR="00884DD1" w:rsidRPr="00413131" w:rsidRDefault="00884DD1" w:rsidP="00A63813">
            <w:pPr>
              <w:spacing w:after="0" w:line="240" w:lineRule="auto"/>
              <w:jc w:val="center"/>
              <w:rPr>
                <w:rFonts w:cstheme="minorHAnsi"/>
                <w:b/>
                <w:bCs/>
                <w:color w:val="000000"/>
              </w:rPr>
            </w:pPr>
          </w:p>
        </w:tc>
        <w:tc>
          <w:tcPr>
            <w:tcW w:w="992" w:type="dxa"/>
            <w:tcBorders>
              <w:top w:val="single" w:sz="4" w:space="0" w:color="FFFFFF"/>
              <w:left w:val="single" w:sz="4" w:space="0" w:color="FFFFFF"/>
            </w:tcBorders>
            <w:shd w:val="clear" w:color="auto" w:fill="auto"/>
            <w:vAlign w:val="center"/>
          </w:tcPr>
          <w:p w14:paraId="4DE6CF84" w14:textId="77777777" w:rsidR="00884DD1" w:rsidRPr="00413131" w:rsidRDefault="00884DD1" w:rsidP="00A63813">
            <w:pPr>
              <w:spacing w:after="0" w:line="240" w:lineRule="auto"/>
              <w:jc w:val="center"/>
              <w:rPr>
                <w:rFonts w:cstheme="minorHAnsi"/>
              </w:rPr>
            </w:pPr>
            <w:r w:rsidRPr="00413131">
              <w:rPr>
                <w:rFonts w:cstheme="minorHAnsi"/>
                <w:b/>
                <w:bCs/>
                <w:color w:val="000000"/>
              </w:rPr>
              <w:t>F1</w:t>
            </w:r>
          </w:p>
        </w:tc>
        <w:tc>
          <w:tcPr>
            <w:tcW w:w="851" w:type="dxa"/>
            <w:tcBorders>
              <w:top w:val="single" w:sz="4" w:space="0" w:color="FFFFFF"/>
            </w:tcBorders>
            <w:shd w:val="clear" w:color="auto" w:fill="auto"/>
            <w:vAlign w:val="center"/>
          </w:tcPr>
          <w:p w14:paraId="2AB3CB81" w14:textId="77777777" w:rsidR="00884DD1" w:rsidRPr="00413131" w:rsidRDefault="00884DD1" w:rsidP="00A63813">
            <w:pPr>
              <w:spacing w:after="0" w:line="240" w:lineRule="auto"/>
              <w:jc w:val="center"/>
              <w:rPr>
                <w:rFonts w:cstheme="minorHAnsi"/>
              </w:rPr>
            </w:pPr>
            <w:r w:rsidRPr="00413131">
              <w:rPr>
                <w:rFonts w:cstheme="minorHAnsi"/>
                <w:b/>
                <w:bCs/>
                <w:color w:val="000000"/>
              </w:rPr>
              <w:t>F2</w:t>
            </w:r>
          </w:p>
        </w:tc>
        <w:tc>
          <w:tcPr>
            <w:tcW w:w="850" w:type="dxa"/>
            <w:tcBorders>
              <w:top w:val="single" w:sz="4" w:space="0" w:color="FFFFFF"/>
            </w:tcBorders>
            <w:shd w:val="clear" w:color="auto" w:fill="auto"/>
            <w:vAlign w:val="center"/>
          </w:tcPr>
          <w:p w14:paraId="4E92D174" w14:textId="77777777" w:rsidR="00884DD1" w:rsidRPr="00413131" w:rsidRDefault="00884DD1" w:rsidP="00A63813">
            <w:pPr>
              <w:spacing w:after="0" w:line="240" w:lineRule="auto"/>
              <w:jc w:val="center"/>
              <w:rPr>
                <w:rFonts w:cstheme="minorHAnsi"/>
              </w:rPr>
            </w:pPr>
            <w:r w:rsidRPr="00413131">
              <w:rPr>
                <w:rFonts w:cstheme="minorHAnsi"/>
                <w:b/>
                <w:bCs/>
                <w:color w:val="000000"/>
              </w:rPr>
              <w:t>S1</w:t>
            </w:r>
          </w:p>
        </w:tc>
        <w:tc>
          <w:tcPr>
            <w:tcW w:w="851" w:type="dxa"/>
            <w:tcBorders>
              <w:top w:val="single" w:sz="4" w:space="0" w:color="FFFFFF"/>
            </w:tcBorders>
            <w:shd w:val="clear" w:color="auto" w:fill="auto"/>
            <w:vAlign w:val="center"/>
          </w:tcPr>
          <w:p w14:paraId="717A34D1" w14:textId="77777777" w:rsidR="00884DD1" w:rsidRPr="00413131" w:rsidRDefault="00884DD1" w:rsidP="00A63813">
            <w:pPr>
              <w:spacing w:after="0" w:line="240" w:lineRule="auto"/>
              <w:jc w:val="center"/>
              <w:rPr>
                <w:rFonts w:cstheme="minorHAnsi"/>
              </w:rPr>
            </w:pPr>
            <w:r w:rsidRPr="00413131">
              <w:rPr>
                <w:rFonts w:cstheme="minorHAnsi"/>
                <w:b/>
                <w:bCs/>
                <w:color w:val="000000"/>
              </w:rPr>
              <w:t>S2</w:t>
            </w:r>
          </w:p>
        </w:tc>
        <w:tc>
          <w:tcPr>
            <w:tcW w:w="850" w:type="dxa"/>
            <w:tcBorders>
              <w:top w:val="single" w:sz="4" w:space="0" w:color="FFFFFF"/>
            </w:tcBorders>
            <w:shd w:val="clear" w:color="auto" w:fill="auto"/>
            <w:vAlign w:val="center"/>
          </w:tcPr>
          <w:p w14:paraId="7849226B" w14:textId="77777777" w:rsidR="00884DD1" w:rsidRPr="00413131" w:rsidRDefault="00884DD1" w:rsidP="00A63813">
            <w:pPr>
              <w:spacing w:after="0" w:line="240" w:lineRule="auto"/>
              <w:jc w:val="center"/>
              <w:rPr>
                <w:rFonts w:cstheme="minorHAnsi"/>
              </w:rPr>
            </w:pPr>
            <w:r w:rsidRPr="00413131">
              <w:rPr>
                <w:rFonts w:cstheme="minorHAnsi"/>
                <w:b/>
                <w:bCs/>
                <w:color w:val="000000"/>
              </w:rPr>
              <w:t>S3</w:t>
            </w:r>
          </w:p>
        </w:tc>
        <w:tc>
          <w:tcPr>
            <w:tcW w:w="851" w:type="dxa"/>
            <w:tcBorders>
              <w:top w:val="single" w:sz="4" w:space="0" w:color="FFFFFF"/>
            </w:tcBorders>
            <w:shd w:val="clear" w:color="auto" w:fill="auto"/>
            <w:vAlign w:val="center"/>
          </w:tcPr>
          <w:p w14:paraId="28BA63AD" w14:textId="77777777" w:rsidR="00884DD1" w:rsidRPr="00413131" w:rsidRDefault="00884DD1" w:rsidP="00A63813">
            <w:pPr>
              <w:spacing w:after="0" w:line="240" w:lineRule="auto"/>
              <w:jc w:val="center"/>
              <w:rPr>
                <w:rFonts w:cstheme="minorHAnsi"/>
              </w:rPr>
            </w:pPr>
            <w:r w:rsidRPr="00413131">
              <w:rPr>
                <w:rFonts w:cstheme="minorHAnsi"/>
                <w:b/>
                <w:bCs/>
                <w:color w:val="000000"/>
              </w:rPr>
              <w:t>M1</w:t>
            </w:r>
          </w:p>
        </w:tc>
        <w:tc>
          <w:tcPr>
            <w:tcW w:w="850" w:type="dxa"/>
            <w:tcBorders>
              <w:top w:val="single" w:sz="4" w:space="0" w:color="FFFFFF"/>
              <w:right w:val="single" w:sz="4" w:space="0" w:color="FFFFFF"/>
            </w:tcBorders>
            <w:shd w:val="clear" w:color="auto" w:fill="auto"/>
            <w:vAlign w:val="center"/>
          </w:tcPr>
          <w:p w14:paraId="118EA09E" w14:textId="77777777" w:rsidR="00884DD1" w:rsidRPr="00413131" w:rsidRDefault="00884DD1" w:rsidP="00A63813">
            <w:pPr>
              <w:spacing w:after="0" w:line="240" w:lineRule="auto"/>
              <w:jc w:val="center"/>
              <w:rPr>
                <w:rFonts w:cstheme="minorHAnsi"/>
              </w:rPr>
            </w:pPr>
            <w:r w:rsidRPr="00413131">
              <w:rPr>
                <w:rFonts w:cstheme="minorHAnsi"/>
                <w:b/>
                <w:bCs/>
                <w:color w:val="000000"/>
              </w:rPr>
              <w:t>M2</w:t>
            </w:r>
          </w:p>
        </w:tc>
        <w:tc>
          <w:tcPr>
            <w:tcW w:w="2411" w:type="dxa"/>
            <w:gridSpan w:val="2"/>
            <w:vMerge/>
            <w:tcBorders>
              <w:left w:val="single" w:sz="4" w:space="0" w:color="FFFFFF"/>
              <w:bottom w:val="single" w:sz="4" w:space="0" w:color="FFFFFF"/>
              <w:right w:val="single" w:sz="4" w:space="0" w:color="FFFFFF"/>
            </w:tcBorders>
            <w:shd w:val="clear" w:color="auto" w:fill="auto"/>
            <w:vAlign w:val="center"/>
          </w:tcPr>
          <w:p w14:paraId="27B48CCA" w14:textId="77777777" w:rsidR="00884DD1" w:rsidRPr="00413131" w:rsidRDefault="00884DD1" w:rsidP="00A63813">
            <w:pPr>
              <w:spacing w:after="0" w:line="240" w:lineRule="auto"/>
              <w:jc w:val="center"/>
              <w:rPr>
                <w:rFonts w:cstheme="minorHAnsi"/>
                <w:b/>
                <w:bCs/>
                <w:color w:val="000000"/>
              </w:rPr>
            </w:pPr>
          </w:p>
        </w:tc>
      </w:tr>
      <w:tr w:rsidR="00884DD1" w:rsidRPr="00413131" w14:paraId="4BD86402" w14:textId="77777777" w:rsidTr="00A63813">
        <w:trPr>
          <w:trHeight w:val="300"/>
        </w:trPr>
        <w:tc>
          <w:tcPr>
            <w:tcW w:w="1305" w:type="dxa"/>
            <w:tcBorders>
              <w:top w:val="single" w:sz="4" w:space="0" w:color="FFFFFF"/>
            </w:tcBorders>
            <w:shd w:val="clear" w:color="auto" w:fill="auto"/>
            <w:vAlign w:val="center"/>
          </w:tcPr>
          <w:p w14:paraId="4A8EE15D" w14:textId="77777777" w:rsidR="00884DD1" w:rsidRPr="00413131" w:rsidRDefault="00884DD1" w:rsidP="00A63813">
            <w:pPr>
              <w:spacing w:after="0" w:line="240" w:lineRule="auto"/>
              <w:jc w:val="center"/>
              <w:rPr>
                <w:rFonts w:cstheme="minorHAnsi"/>
              </w:rPr>
            </w:pPr>
            <w:r w:rsidRPr="00413131">
              <w:rPr>
                <w:rFonts w:cstheme="minorHAnsi"/>
                <w:b/>
                <w:bCs/>
                <w:color w:val="000000"/>
              </w:rPr>
              <w:t>Dane za rok</w:t>
            </w:r>
          </w:p>
        </w:tc>
        <w:tc>
          <w:tcPr>
            <w:tcW w:w="1701" w:type="dxa"/>
            <w:tcBorders>
              <w:top w:val="single" w:sz="4" w:space="0" w:color="FFFFFF"/>
            </w:tcBorders>
            <w:shd w:val="clear" w:color="auto" w:fill="auto"/>
            <w:vAlign w:val="center"/>
          </w:tcPr>
          <w:p w14:paraId="66689037" w14:textId="77777777" w:rsidR="00884DD1" w:rsidRPr="00413131" w:rsidRDefault="00884DD1" w:rsidP="00A63813">
            <w:pPr>
              <w:spacing w:after="0" w:line="240" w:lineRule="auto"/>
              <w:jc w:val="center"/>
              <w:rPr>
                <w:rFonts w:cstheme="minorHAnsi"/>
                <w:b/>
                <w:bCs/>
                <w:color w:val="000000"/>
              </w:rPr>
            </w:pPr>
          </w:p>
        </w:tc>
        <w:tc>
          <w:tcPr>
            <w:tcW w:w="1417" w:type="dxa"/>
            <w:tcBorders>
              <w:top w:val="single" w:sz="4" w:space="0" w:color="FFFFFF"/>
            </w:tcBorders>
            <w:shd w:val="clear" w:color="auto" w:fill="auto"/>
            <w:vAlign w:val="center"/>
          </w:tcPr>
          <w:p w14:paraId="5471693E" w14:textId="77777777" w:rsidR="00884DD1" w:rsidRPr="00413131" w:rsidRDefault="00884DD1" w:rsidP="00A63813">
            <w:pPr>
              <w:spacing w:after="0" w:line="240" w:lineRule="auto"/>
              <w:jc w:val="center"/>
              <w:rPr>
                <w:rFonts w:cstheme="minorHAnsi"/>
              </w:rPr>
            </w:pPr>
            <w:r w:rsidRPr="00413131">
              <w:rPr>
                <w:rFonts w:cstheme="minorHAnsi"/>
                <w:b/>
                <w:bCs/>
                <w:color w:val="000000"/>
              </w:rPr>
              <w:t>202</w:t>
            </w:r>
            <w:r>
              <w:rPr>
                <w:rFonts w:cstheme="minorHAnsi"/>
                <w:b/>
                <w:bCs/>
                <w:color w:val="000000"/>
              </w:rPr>
              <w:t>3</w:t>
            </w:r>
          </w:p>
        </w:tc>
        <w:tc>
          <w:tcPr>
            <w:tcW w:w="1418" w:type="dxa"/>
            <w:tcBorders>
              <w:top w:val="single" w:sz="4" w:space="0" w:color="FFFFFF"/>
            </w:tcBorders>
            <w:shd w:val="clear" w:color="auto" w:fill="auto"/>
            <w:vAlign w:val="center"/>
          </w:tcPr>
          <w:p w14:paraId="1DDF5282" w14:textId="77777777" w:rsidR="00884DD1" w:rsidRPr="00413131" w:rsidRDefault="00884DD1" w:rsidP="00A63813">
            <w:pPr>
              <w:spacing w:after="0" w:line="240" w:lineRule="auto"/>
              <w:jc w:val="center"/>
              <w:rPr>
                <w:rFonts w:cstheme="minorHAnsi"/>
              </w:rPr>
            </w:pPr>
            <w:r w:rsidRPr="00413131">
              <w:rPr>
                <w:rFonts w:cstheme="minorHAnsi"/>
                <w:b/>
                <w:bCs/>
                <w:color w:val="000000"/>
              </w:rPr>
              <w:t>202</w:t>
            </w:r>
            <w:r>
              <w:rPr>
                <w:rFonts w:cstheme="minorHAnsi"/>
                <w:b/>
                <w:bCs/>
                <w:color w:val="000000"/>
              </w:rPr>
              <w:t>3</w:t>
            </w:r>
          </w:p>
        </w:tc>
        <w:tc>
          <w:tcPr>
            <w:tcW w:w="992" w:type="dxa"/>
            <w:shd w:val="clear" w:color="auto" w:fill="auto"/>
            <w:vAlign w:val="center"/>
          </w:tcPr>
          <w:p w14:paraId="1B6CF6AF" w14:textId="77777777" w:rsidR="00884DD1" w:rsidRPr="00413131" w:rsidRDefault="00884DD1" w:rsidP="00A63813">
            <w:pPr>
              <w:spacing w:after="0" w:line="240" w:lineRule="auto"/>
              <w:jc w:val="center"/>
              <w:rPr>
                <w:rFonts w:cstheme="minorHAnsi"/>
              </w:rPr>
            </w:pPr>
            <w:r w:rsidRPr="00413131">
              <w:rPr>
                <w:rFonts w:cstheme="minorHAnsi"/>
                <w:b/>
                <w:bCs/>
                <w:color w:val="000000"/>
              </w:rPr>
              <w:t>20</w:t>
            </w:r>
            <w:r>
              <w:rPr>
                <w:rFonts w:cstheme="minorHAnsi"/>
                <w:b/>
                <w:bCs/>
                <w:color w:val="000000"/>
              </w:rPr>
              <w:t>21</w:t>
            </w:r>
          </w:p>
        </w:tc>
        <w:tc>
          <w:tcPr>
            <w:tcW w:w="851" w:type="dxa"/>
            <w:shd w:val="clear" w:color="auto" w:fill="auto"/>
            <w:vAlign w:val="center"/>
          </w:tcPr>
          <w:p w14:paraId="3E40468E" w14:textId="77777777" w:rsidR="00884DD1" w:rsidRPr="00413131" w:rsidRDefault="00884DD1" w:rsidP="00A63813">
            <w:pPr>
              <w:spacing w:after="0" w:line="240" w:lineRule="auto"/>
              <w:jc w:val="center"/>
              <w:rPr>
                <w:rFonts w:cstheme="minorHAnsi"/>
              </w:rPr>
            </w:pPr>
            <w:r w:rsidRPr="00413131">
              <w:rPr>
                <w:rFonts w:cstheme="minorHAnsi"/>
                <w:b/>
                <w:bCs/>
                <w:color w:val="000000"/>
              </w:rPr>
              <w:t>202</w:t>
            </w:r>
            <w:r>
              <w:rPr>
                <w:rFonts w:cstheme="minorHAnsi"/>
                <w:b/>
                <w:bCs/>
                <w:color w:val="000000"/>
              </w:rPr>
              <w:t>3</w:t>
            </w:r>
          </w:p>
        </w:tc>
        <w:tc>
          <w:tcPr>
            <w:tcW w:w="850" w:type="dxa"/>
            <w:shd w:val="clear" w:color="auto" w:fill="auto"/>
            <w:vAlign w:val="center"/>
          </w:tcPr>
          <w:p w14:paraId="42DF8B27" w14:textId="77777777" w:rsidR="00884DD1" w:rsidRPr="00413131" w:rsidRDefault="00884DD1" w:rsidP="00A63813">
            <w:pPr>
              <w:spacing w:after="0" w:line="240" w:lineRule="auto"/>
              <w:jc w:val="center"/>
              <w:rPr>
                <w:rFonts w:cstheme="minorHAnsi"/>
              </w:rPr>
            </w:pPr>
            <w:r>
              <w:rPr>
                <w:rFonts w:cstheme="minorHAnsi"/>
                <w:b/>
                <w:bCs/>
                <w:color w:val="000000"/>
              </w:rPr>
              <w:t>2022</w:t>
            </w:r>
          </w:p>
        </w:tc>
        <w:tc>
          <w:tcPr>
            <w:tcW w:w="851" w:type="dxa"/>
            <w:shd w:val="clear" w:color="auto" w:fill="auto"/>
            <w:vAlign w:val="center"/>
          </w:tcPr>
          <w:p w14:paraId="14EA41A5" w14:textId="77777777" w:rsidR="00884DD1" w:rsidRPr="00413131" w:rsidRDefault="00884DD1" w:rsidP="00A63813">
            <w:pPr>
              <w:spacing w:after="0" w:line="240" w:lineRule="auto"/>
              <w:jc w:val="center"/>
              <w:rPr>
                <w:rFonts w:cstheme="minorHAnsi"/>
              </w:rPr>
            </w:pPr>
            <w:r w:rsidRPr="00413131">
              <w:rPr>
                <w:rFonts w:cstheme="minorHAnsi"/>
                <w:b/>
                <w:bCs/>
                <w:color w:val="000000"/>
              </w:rPr>
              <w:t>202</w:t>
            </w:r>
            <w:r>
              <w:rPr>
                <w:rFonts w:cstheme="minorHAnsi"/>
                <w:b/>
                <w:bCs/>
                <w:color w:val="000000"/>
              </w:rPr>
              <w:t>3</w:t>
            </w:r>
          </w:p>
        </w:tc>
        <w:tc>
          <w:tcPr>
            <w:tcW w:w="850" w:type="dxa"/>
            <w:shd w:val="clear" w:color="auto" w:fill="auto"/>
            <w:vAlign w:val="center"/>
          </w:tcPr>
          <w:p w14:paraId="79E50EAF" w14:textId="77777777" w:rsidR="00884DD1" w:rsidRPr="00413131" w:rsidRDefault="00884DD1" w:rsidP="00A63813">
            <w:pPr>
              <w:spacing w:after="0" w:line="240" w:lineRule="auto"/>
              <w:jc w:val="center"/>
              <w:rPr>
                <w:rFonts w:cstheme="minorHAnsi"/>
              </w:rPr>
            </w:pPr>
            <w:r w:rsidRPr="00413131">
              <w:rPr>
                <w:rFonts w:cstheme="minorHAnsi"/>
                <w:b/>
                <w:bCs/>
                <w:color w:val="000000"/>
              </w:rPr>
              <w:t>202</w:t>
            </w:r>
            <w:r>
              <w:rPr>
                <w:rFonts w:cstheme="minorHAnsi"/>
                <w:b/>
                <w:bCs/>
                <w:color w:val="000000"/>
              </w:rPr>
              <w:t>3</w:t>
            </w:r>
          </w:p>
        </w:tc>
        <w:tc>
          <w:tcPr>
            <w:tcW w:w="851" w:type="dxa"/>
            <w:shd w:val="clear" w:color="auto" w:fill="auto"/>
            <w:vAlign w:val="center"/>
          </w:tcPr>
          <w:p w14:paraId="6371552B" w14:textId="77777777" w:rsidR="00884DD1" w:rsidRPr="00413131" w:rsidRDefault="00884DD1" w:rsidP="00A63813">
            <w:pPr>
              <w:spacing w:after="0" w:line="240" w:lineRule="auto"/>
              <w:jc w:val="center"/>
              <w:rPr>
                <w:rFonts w:cstheme="minorHAnsi"/>
              </w:rPr>
            </w:pPr>
            <w:r w:rsidRPr="00413131">
              <w:rPr>
                <w:rFonts w:cstheme="minorHAnsi"/>
                <w:b/>
                <w:bCs/>
                <w:color w:val="000000"/>
              </w:rPr>
              <w:t>202</w:t>
            </w:r>
            <w:r>
              <w:rPr>
                <w:rFonts w:cstheme="minorHAnsi"/>
                <w:b/>
                <w:bCs/>
                <w:color w:val="000000"/>
              </w:rPr>
              <w:t>3</w:t>
            </w:r>
          </w:p>
        </w:tc>
        <w:tc>
          <w:tcPr>
            <w:tcW w:w="850" w:type="dxa"/>
            <w:shd w:val="clear" w:color="auto" w:fill="auto"/>
            <w:vAlign w:val="center"/>
          </w:tcPr>
          <w:p w14:paraId="0DDD4DBB" w14:textId="77777777" w:rsidR="00884DD1" w:rsidRPr="00413131" w:rsidRDefault="00884DD1" w:rsidP="00A63813">
            <w:pPr>
              <w:spacing w:after="0" w:line="240" w:lineRule="auto"/>
              <w:jc w:val="center"/>
              <w:rPr>
                <w:rFonts w:cstheme="minorHAnsi"/>
              </w:rPr>
            </w:pPr>
            <w:r w:rsidRPr="00413131">
              <w:rPr>
                <w:rFonts w:cstheme="minorHAnsi"/>
                <w:b/>
                <w:bCs/>
                <w:color w:val="000000"/>
              </w:rPr>
              <w:t>202</w:t>
            </w:r>
            <w:r>
              <w:rPr>
                <w:rFonts w:cstheme="minorHAnsi"/>
                <w:b/>
                <w:bCs/>
                <w:color w:val="000000"/>
              </w:rPr>
              <w:t>3</w:t>
            </w:r>
          </w:p>
        </w:tc>
        <w:tc>
          <w:tcPr>
            <w:tcW w:w="1134" w:type="dxa"/>
            <w:vMerge w:val="restart"/>
            <w:tcBorders>
              <w:top w:val="single" w:sz="4" w:space="0" w:color="FFFFFF"/>
            </w:tcBorders>
            <w:shd w:val="clear" w:color="auto" w:fill="auto"/>
            <w:vAlign w:val="center"/>
          </w:tcPr>
          <w:p w14:paraId="7DFBC31D" w14:textId="77777777" w:rsidR="00884DD1" w:rsidRPr="00413131" w:rsidRDefault="00884DD1" w:rsidP="00A63813">
            <w:pPr>
              <w:spacing w:after="0" w:line="240" w:lineRule="auto"/>
              <w:jc w:val="center"/>
              <w:rPr>
                <w:rFonts w:cstheme="minorHAnsi"/>
                <w:b/>
                <w:bCs/>
                <w:color w:val="000000"/>
              </w:rPr>
            </w:pPr>
            <w:r>
              <w:rPr>
                <w:rFonts w:cstheme="minorHAnsi"/>
                <w:b/>
                <w:bCs/>
                <w:color w:val="000000"/>
              </w:rPr>
              <w:t>Ogółem</w:t>
            </w:r>
          </w:p>
        </w:tc>
        <w:tc>
          <w:tcPr>
            <w:tcW w:w="1277" w:type="dxa"/>
            <w:vMerge w:val="restart"/>
            <w:tcBorders>
              <w:top w:val="single" w:sz="4" w:space="0" w:color="FFFFFF"/>
            </w:tcBorders>
          </w:tcPr>
          <w:p w14:paraId="3E793AFA" w14:textId="77777777" w:rsidR="00884DD1" w:rsidRPr="00413131" w:rsidRDefault="00884DD1" w:rsidP="00A63813">
            <w:pPr>
              <w:spacing w:after="0" w:line="240" w:lineRule="auto"/>
              <w:jc w:val="center"/>
              <w:rPr>
                <w:rFonts w:cstheme="minorHAnsi"/>
                <w:b/>
                <w:bCs/>
                <w:color w:val="000000"/>
              </w:rPr>
            </w:pPr>
            <w:r>
              <w:rPr>
                <w:rFonts w:cstheme="minorHAnsi"/>
                <w:b/>
                <w:bCs/>
                <w:color w:val="000000"/>
              </w:rPr>
              <w:t>Tendencja wzrostowa</w:t>
            </w:r>
          </w:p>
        </w:tc>
      </w:tr>
      <w:tr w:rsidR="00884DD1" w:rsidRPr="00413131" w14:paraId="7C97E8E4" w14:textId="77777777" w:rsidTr="00A63813">
        <w:trPr>
          <w:trHeight w:val="300"/>
        </w:trPr>
        <w:tc>
          <w:tcPr>
            <w:tcW w:w="5841" w:type="dxa"/>
            <w:gridSpan w:val="4"/>
            <w:tcBorders>
              <w:top w:val="single" w:sz="4" w:space="0" w:color="FFFFFF"/>
            </w:tcBorders>
            <w:shd w:val="clear" w:color="auto" w:fill="auto"/>
            <w:vAlign w:val="center"/>
          </w:tcPr>
          <w:p w14:paraId="47817CBD" w14:textId="77777777" w:rsidR="00884DD1" w:rsidRPr="00413131" w:rsidRDefault="00884DD1" w:rsidP="00A63813">
            <w:pPr>
              <w:spacing w:after="0" w:line="240" w:lineRule="auto"/>
              <w:jc w:val="right"/>
              <w:rPr>
                <w:rFonts w:cstheme="minorHAnsi"/>
                <w:b/>
                <w:bCs/>
                <w:color w:val="000000"/>
              </w:rPr>
            </w:pPr>
            <w:r>
              <w:rPr>
                <w:rFonts w:cstheme="minorHAnsi"/>
                <w:b/>
                <w:bCs/>
                <w:color w:val="000000"/>
              </w:rPr>
              <w:t>Warunek spełnienia kryterium</w:t>
            </w:r>
          </w:p>
        </w:tc>
        <w:tc>
          <w:tcPr>
            <w:tcW w:w="992" w:type="dxa"/>
            <w:shd w:val="clear" w:color="auto" w:fill="auto"/>
            <w:vAlign w:val="center"/>
          </w:tcPr>
          <w:p w14:paraId="4D9B3A99" w14:textId="77777777" w:rsidR="00884DD1" w:rsidRPr="002B4621" w:rsidRDefault="00884DD1" w:rsidP="00A63813">
            <w:pPr>
              <w:spacing w:after="0" w:line="240" w:lineRule="auto"/>
              <w:jc w:val="center"/>
              <w:rPr>
                <w:rFonts w:cstheme="minorHAnsi"/>
                <w:bCs/>
                <w:color w:val="000000"/>
              </w:rPr>
            </w:pPr>
            <w:r>
              <w:rPr>
                <w:rFonts w:cstheme="minorHAnsi"/>
                <w:bCs/>
                <w:color w:val="000000"/>
              </w:rPr>
              <w:t>&gt;</w:t>
            </w:r>
            <w:r w:rsidRPr="002B4621">
              <w:rPr>
                <w:rFonts w:cstheme="minorHAnsi"/>
                <w:bCs/>
                <w:color w:val="000000"/>
              </w:rPr>
              <w:t xml:space="preserve"> 50</w:t>
            </w:r>
          </w:p>
        </w:tc>
        <w:tc>
          <w:tcPr>
            <w:tcW w:w="851" w:type="dxa"/>
            <w:shd w:val="clear" w:color="auto" w:fill="auto"/>
            <w:vAlign w:val="center"/>
          </w:tcPr>
          <w:p w14:paraId="5723D48D" w14:textId="77777777" w:rsidR="00884DD1" w:rsidRPr="002B4621" w:rsidRDefault="00884DD1" w:rsidP="00A63813">
            <w:pPr>
              <w:spacing w:after="0" w:line="240" w:lineRule="auto"/>
              <w:jc w:val="center"/>
              <w:rPr>
                <w:rFonts w:cstheme="minorHAnsi"/>
                <w:bCs/>
                <w:color w:val="000000"/>
              </w:rPr>
            </w:pPr>
            <w:r>
              <w:rPr>
                <w:rFonts w:cstheme="minorHAnsi"/>
                <w:bCs/>
                <w:color w:val="000000"/>
              </w:rPr>
              <w:t xml:space="preserve">&gt; </w:t>
            </w:r>
            <w:r w:rsidRPr="002B4621">
              <w:rPr>
                <w:rFonts w:cstheme="minorHAnsi"/>
                <w:bCs/>
                <w:color w:val="000000"/>
              </w:rPr>
              <w:t>3</w:t>
            </w:r>
          </w:p>
        </w:tc>
        <w:tc>
          <w:tcPr>
            <w:tcW w:w="850" w:type="dxa"/>
            <w:shd w:val="clear" w:color="auto" w:fill="auto"/>
            <w:vAlign w:val="center"/>
          </w:tcPr>
          <w:p w14:paraId="149DFE51" w14:textId="77777777" w:rsidR="00884DD1" w:rsidRPr="002B4621" w:rsidRDefault="00884DD1" w:rsidP="00A63813">
            <w:pPr>
              <w:spacing w:after="0" w:line="240" w:lineRule="auto"/>
              <w:jc w:val="center"/>
              <w:rPr>
                <w:rFonts w:cstheme="minorHAnsi"/>
                <w:bCs/>
                <w:color w:val="000000"/>
              </w:rPr>
            </w:pPr>
            <w:r>
              <w:rPr>
                <w:rFonts w:cstheme="minorHAnsi"/>
                <w:bCs/>
                <w:color w:val="000000"/>
              </w:rPr>
              <w:t>&gt; 75%</w:t>
            </w:r>
          </w:p>
        </w:tc>
        <w:tc>
          <w:tcPr>
            <w:tcW w:w="851" w:type="dxa"/>
            <w:shd w:val="clear" w:color="auto" w:fill="auto"/>
            <w:vAlign w:val="center"/>
          </w:tcPr>
          <w:p w14:paraId="0C321BC8" w14:textId="77777777" w:rsidR="00884DD1" w:rsidRPr="002B4621" w:rsidRDefault="00884DD1" w:rsidP="00A63813">
            <w:pPr>
              <w:spacing w:after="0" w:line="240" w:lineRule="auto"/>
              <w:jc w:val="center"/>
              <w:rPr>
                <w:rFonts w:cstheme="minorHAnsi"/>
                <w:bCs/>
                <w:color w:val="000000"/>
              </w:rPr>
            </w:pPr>
            <w:r>
              <w:rPr>
                <w:rFonts w:cstheme="minorHAnsi"/>
                <w:bCs/>
                <w:color w:val="000000"/>
              </w:rPr>
              <w:t>&gt; 75%</w:t>
            </w:r>
          </w:p>
        </w:tc>
        <w:tc>
          <w:tcPr>
            <w:tcW w:w="850" w:type="dxa"/>
            <w:shd w:val="clear" w:color="auto" w:fill="auto"/>
            <w:vAlign w:val="center"/>
          </w:tcPr>
          <w:p w14:paraId="79607D87" w14:textId="77777777" w:rsidR="00884DD1" w:rsidRPr="002B4621" w:rsidRDefault="00884DD1" w:rsidP="00A63813">
            <w:pPr>
              <w:spacing w:after="0" w:line="240" w:lineRule="auto"/>
              <w:jc w:val="center"/>
              <w:rPr>
                <w:rFonts w:cstheme="minorHAnsi"/>
                <w:bCs/>
                <w:color w:val="000000"/>
              </w:rPr>
            </w:pPr>
            <w:r>
              <w:rPr>
                <w:rFonts w:cstheme="minorHAnsi"/>
                <w:bCs/>
                <w:color w:val="000000"/>
              </w:rPr>
              <w:t>&gt; 50%</w:t>
            </w:r>
          </w:p>
        </w:tc>
        <w:tc>
          <w:tcPr>
            <w:tcW w:w="851" w:type="dxa"/>
            <w:shd w:val="clear" w:color="auto" w:fill="auto"/>
            <w:vAlign w:val="center"/>
          </w:tcPr>
          <w:p w14:paraId="05BC94E4" w14:textId="77777777" w:rsidR="00884DD1" w:rsidRPr="002B4621" w:rsidRDefault="00884DD1" w:rsidP="00A63813">
            <w:pPr>
              <w:spacing w:after="0" w:line="240" w:lineRule="auto"/>
              <w:jc w:val="center"/>
              <w:rPr>
                <w:rFonts w:cstheme="minorHAnsi"/>
                <w:bCs/>
                <w:color w:val="000000"/>
              </w:rPr>
            </w:pPr>
            <w:r>
              <w:rPr>
                <w:rFonts w:cstheme="minorHAnsi"/>
                <w:bCs/>
                <w:color w:val="000000"/>
              </w:rPr>
              <w:t>&gt; 50%</w:t>
            </w:r>
          </w:p>
        </w:tc>
        <w:tc>
          <w:tcPr>
            <w:tcW w:w="850" w:type="dxa"/>
            <w:shd w:val="clear" w:color="auto" w:fill="auto"/>
            <w:vAlign w:val="center"/>
          </w:tcPr>
          <w:p w14:paraId="2EA89139" w14:textId="77777777" w:rsidR="00884DD1" w:rsidRPr="002B4621" w:rsidRDefault="00884DD1" w:rsidP="00A63813">
            <w:pPr>
              <w:spacing w:after="0" w:line="240" w:lineRule="auto"/>
              <w:jc w:val="center"/>
              <w:rPr>
                <w:rFonts w:cstheme="minorHAnsi"/>
                <w:bCs/>
                <w:color w:val="000000"/>
              </w:rPr>
            </w:pPr>
            <w:r>
              <w:rPr>
                <w:rFonts w:cstheme="minorHAnsi"/>
                <w:bCs/>
                <w:color w:val="000000"/>
              </w:rPr>
              <w:t>&gt; 75%</w:t>
            </w:r>
          </w:p>
        </w:tc>
        <w:tc>
          <w:tcPr>
            <w:tcW w:w="1134" w:type="dxa"/>
            <w:vMerge/>
            <w:shd w:val="clear" w:color="auto" w:fill="auto"/>
            <w:vAlign w:val="center"/>
          </w:tcPr>
          <w:p w14:paraId="13D7F97F" w14:textId="77777777" w:rsidR="00884DD1" w:rsidRDefault="00884DD1" w:rsidP="00A63813">
            <w:pPr>
              <w:spacing w:after="0" w:line="240" w:lineRule="auto"/>
              <w:jc w:val="center"/>
              <w:rPr>
                <w:rFonts w:cstheme="minorHAnsi"/>
                <w:b/>
                <w:bCs/>
                <w:color w:val="000000"/>
              </w:rPr>
            </w:pPr>
          </w:p>
        </w:tc>
        <w:tc>
          <w:tcPr>
            <w:tcW w:w="1277" w:type="dxa"/>
            <w:vMerge/>
          </w:tcPr>
          <w:p w14:paraId="5F8B430B" w14:textId="77777777" w:rsidR="00884DD1" w:rsidRDefault="00884DD1" w:rsidP="00A63813">
            <w:pPr>
              <w:spacing w:after="0" w:line="240" w:lineRule="auto"/>
              <w:jc w:val="center"/>
              <w:rPr>
                <w:rFonts w:cstheme="minorHAnsi"/>
                <w:b/>
                <w:bCs/>
                <w:color w:val="000000"/>
              </w:rPr>
            </w:pPr>
          </w:p>
        </w:tc>
      </w:tr>
      <w:tr w:rsidR="00884DD1" w:rsidRPr="00413131" w14:paraId="1A37FE98" w14:textId="77777777" w:rsidTr="00A63813">
        <w:trPr>
          <w:trHeight w:val="300"/>
        </w:trPr>
        <w:tc>
          <w:tcPr>
            <w:tcW w:w="13070" w:type="dxa"/>
            <w:gridSpan w:val="12"/>
            <w:shd w:val="clear" w:color="auto" w:fill="auto"/>
            <w:vAlign w:val="center"/>
          </w:tcPr>
          <w:p w14:paraId="6ACE623F" w14:textId="77777777" w:rsidR="00884DD1" w:rsidRPr="00413131" w:rsidRDefault="00884DD1" w:rsidP="00A63813">
            <w:pPr>
              <w:spacing w:after="0" w:line="240" w:lineRule="auto"/>
              <w:jc w:val="center"/>
              <w:rPr>
                <w:rFonts w:cstheme="minorHAnsi"/>
              </w:rPr>
            </w:pPr>
            <w:r w:rsidRPr="00413131">
              <w:rPr>
                <w:rFonts w:cstheme="minorHAnsi"/>
                <w:b/>
                <w:bCs/>
                <w:color w:val="000000"/>
              </w:rPr>
              <w:t>Rdzeń</w:t>
            </w:r>
          </w:p>
        </w:tc>
        <w:tc>
          <w:tcPr>
            <w:tcW w:w="1277" w:type="dxa"/>
          </w:tcPr>
          <w:p w14:paraId="0A9BE8A0" w14:textId="77777777" w:rsidR="00884DD1" w:rsidRPr="00413131" w:rsidRDefault="00884DD1" w:rsidP="00A63813">
            <w:pPr>
              <w:spacing w:after="0" w:line="240" w:lineRule="auto"/>
              <w:jc w:val="center"/>
              <w:rPr>
                <w:rFonts w:cstheme="minorHAnsi"/>
                <w:b/>
                <w:bCs/>
                <w:color w:val="000000"/>
              </w:rPr>
            </w:pPr>
          </w:p>
        </w:tc>
      </w:tr>
      <w:tr w:rsidR="00884DD1" w:rsidRPr="00413131" w14:paraId="19A1A5F8" w14:textId="77777777" w:rsidTr="00A63813">
        <w:trPr>
          <w:trHeight w:val="300"/>
        </w:trPr>
        <w:tc>
          <w:tcPr>
            <w:tcW w:w="1305" w:type="dxa"/>
            <w:shd w:val="clear" w:color="auto" w:fill="auto"/>
            <w:vAlign w:val="center"/>
          </w:tcPr>
          <w:p w14:paraId="712ED718" w14:textId="77777777" w:rsidR="00884DD1" w:rsidRPr="00413131" w:rsidRDefault="00884DD1" w:rsidP="00A63813">
            <w:pPr>
              <w:spacing w:after="0" w:line="240" w:lineRule="auto"/>
              <w:jc w:val="center"/>
              <w:rPr>
                <w:rFonts w:cstheme="minorHAnsi"/>
              </w:rPr>
            </w:pPr>
            <w:r>
              <w:rPr>
                <w:rFonts w:cstheme="minorHAnsi"/>
              </w:rPr>
              <w:t>Olkusz</w:t>
            </w:r>
          </w:p>
        </w:tc>
        <w:tc>
          <w:tcPr>
            <w:tcW w:w="1701" w:type="dxa"/>
            <w:shd w:val="clear" w:color="auto" w:fill="auto"/>
            <w:vAlign w:val="center"/>
          </w:tcPr>
          <w:p w14:paraId="2CFEB7AB" w14:textId="77777777" w:rsidR="00884DD1" w:rsidRPr="00413131" w:rsidRDefault="00884DD1" w:rsidP="00A63813">
            <w:pPr>
              <w:spacing w:after="0" w:line="240" w:lineRule="auto"/>
              <w:jc w:val="center"/>
              <w:rPr>
                <w:rFonts w:cstheme="minorHAnsi"/>
              </w:rPr>
            </w:pPr>
            <w:r w:rsidRPr="00413131">
              <w:rPr>
                <w:rFonts w:cstheme="minorHAnsi"/>
              </w:rPr>
              <w:t>m</w:t>
            </w:r>
            <w:r>
              <w:rPr>
                <w:rFonts w:cstheme="minorHAnsi"/>
              </w:rPr>
              <w:t>w</w:t>
            </w:r>
          </w:p>
        </w:tc>
        <w:tc>
          <w:tcPr>
            <w:tcW w:w="1417" w:type="dxa"/>
            <w:shd w:val="clear" w:color="auto" w:fill="auto"/>
            <w:vAlign w:val="center"/>
          </w:tcPr>
          <w:p w14:paraId="42D8F004" w14:textId="77777777" w:rsidR="00884DD1" w:rsidRPr="00413131" w:rsidRDefault="00884DD1" w:rsidP="00A63813">
            <w:pPr>
              <w:spacing w:after="0" w:line="240" w:lineRule="auto"/>
              <w:jc w:val="center"/>
              <w:rPr>
                <w:rFonts w:cstheme="minorHAnsi"/>
              </w:rPr>
            </w:pPr>
            <w:r w:rsidRPr="00FF03A2">
              <w:rPr>
                <w:rFonts w:cstheme="minorHAnsi"/>
              </w:rPr>
              <w:t xml:space="preserve">150,9    </w:t>
            </w:r>
          </w:p>
        </w:tc>
        <w:tc>
          <w:tcPr>
            <w:tcW w:w="1418" w:type="dxa"/>
            <w:shd w:val="clear" w:color="auto" w:fill="auto"/>
            <w:vAlign w:val="center"/>
          </w:tcPr>
          <w:p w14:paraId="177C9B94" w14:textId="77777777" w:rsidR="00884DD1" w:rsidRPr="00413131" w:rsidRDefault="00884DD1" w:rsidP="00A63813">
            <w:pPr>
              <w:spacing w:after="0" w:line="240" w:lineRule="auto"/>
              <w:jc w:val="center"/>
              <w:rPr>
                <w:rFonts w:cstheme="minorHAnsi"/>
              </w:rPr>
            </w:pPr>
            <w:r w:rsidRPr="004354FB">
              <w:rPr>
                <w:rFonts w:cstheme="minorHAnsi"/>
              </w:rPr>
              <w:t>45 630</w:t>
            </w:r>
          </w:p>
        </w:tc>
        <w:tc>
          <w:tcPr>
            <w:tcW w:w="992" w:type="dxa"/>
            <w:shd w:val="clear" w:color="auto" w:fill="auto"/>
            <w:vAlign w:val="center"/>
          </w:tcPr>
          <w:p w14:paraId="2269333E" w14:textId="77777777" w:rsidR="00884DD1" w:rsidRPr="00413131" w:rsidRDefault="00884DD1" w:rsidP="00A63813">
            <w:pPr>
              <w:spacing w:after="0" w:line="240" w:lineRule="auto"/>
              <w:jc w:val="center"/>
              <w:rPr>
                <w:rFonts w:cstheme="minorHAnsi"/>
              </w:rPr>
            </w:pPr>
            <w:r w:rsidRPr="00413131">
              <w:rPr>
                <w:rFonts w:cstheme="minorHAnsi"/>
                <w:color w:val="000000"/>
              </w:rPr>
              <w:t>x</w:t>
            </w:r>
          </w:p>
        </w:tc>
        <w:tc>
          <w:tcPr>
            <w:tcW w:w="851" w:type="dxa"/>
            <w:shd w:val="clear" w:color="auto" w:fill="auto"/>
            <w:vAlign w:val="center"/>
          </w:tcPr>
          <w:p w14:paraId="38DF8706" w14:textId="77777777" w:rsidR="00884DD1" w:rsidRPr="00413131" w:rsidRDefault="00884DD1" w:rsidP="00A63813">
            <w:pPr>
              <w:spacing w:after="0" w:line="240" w:lineRule="auto"/>
              <w:jc w:val="center"/>
              <w:rPr>
                <w:rFonts w:cstheme="minorHAnsi"/>
              </w:rPr>
            </w:pPr>
            <w:r w:rsidRPr="00413131">
              <w:rPr>
                <w:rFonts w:cstheme="minorHAnsi"/>
                <w:color w:val="000000"/>
              </w:rPr>
              <w:t>x</w:t>
            </w:r>
          </w:p>
        </w:tc>
        <w:tc>
          <w:tcPr>
            <w:tcW w:w="850" w:type="dxa"/>
            <w:shd w:val="clear" w:color="auto" w:fill="auto"/>
            <w:vAlign w:val="center"/>
          </w:tcPr>
          <w:p w14:paraId="724BBF2D" w14:textId="77777777" w:rsidR="00884DD1" w:rsidRPr="00413131" w:rsidRDefault="00884DD1" w:rsidP="00A63813">
            <w:pPr>
              <w:spacing w:after="0" w:line="240" w:lineRule="auto"/>
              <w:jc w:val="center"/>
              <w:rPr>
                <w:rFonts w:cstheme="minorHAnsi"/>
              </w:rPr>
            </w:pPr>
            <w:r w:rsidRPr="00413131">
              <w:rPr>
                <w:rFonts w:cstheme="minorHAnsi"/>
                <w:color w:val="000000"/>
              </w:rPr>
              <w:t>x</w:t>
            </w:r>
          </w:p>
        </w:tc>
        <w:tc>
          <w:tcPr>
            <w:tcW w:w="851" w:type="dxa"/>
            <w:shd w:val="clear" w:color="auto" w:fill="auto"/>
            <w:vAlign w:val="center"/>
          </w:tcPr>
          <w:p w14:paraId="5EF224EC" w14:textId="77777777" w:rsidR="00884DD1" w:rsidRPr="00413131" w:rsidRDefault="00884DD1" w:rsidP="00A63813">
            <w:pPr>
              <w:spacing w:after="0" w:line="240" w:lineRule="auto"/>
              <w:jc w:val="center"/>
              <w:rPr>
                <w:rFonts w:cstheme="minorHAnsi"/>
              </w:rPr>
            </w:pPr>
            <w:r w:rsidRPr="00413131">
              <w:rPr>
                <w:rFonts w:cstheme="minorHAnsi"/>
                <w:color w:val="000000"/>
              </w:rPr>
              <w:t>x</w:t>
            </w:r>
          </w:p>
        </w:tc>
        <w:tc>
          <w:tcPr>
            <w:tcW w:w="850" w:type="dxa"/>
            <w:shd w:val="clear" w:color="auto" w:fill="auto"/>
            <w:vAlign w:val="center"/>
          </w:tcPr>
          <w:p w14:paraId="0A7F4A14" w14:textId="77777777" w:rsidR="00884DD1" w:rsidRPr="00413131" w:rsidRDefault="00884DD1" w:rsidP="00A63813">
            <w:pPr>
              <w:spacing w:after="0" w:line="240" w:lineRule="auto"/>
              <w:jc w:val="center"/>
              <w:rPr>
                <w:rFonts w:cstheme="minorHAnsi"/>
              </w:rPr>
            </w:pPr>
            <w:r w:rsidRPr="00413131">
              <w:rPr>
                <w:rFonts w:cstheme="minorHAnsi"/>
                <w:color w:val="000000"/>
              </w:rPr>
              <w:t>x</w:t>
            </w:r>
          </w:p>
        </w:tc>
        <w:tc>
          <w:tcPr>
            <w:tcW w:w="851" w:type="dxa"/>
            <w:shd w:val="clear" w:color="auto" w:fill="auto"/>
            <w:vAlign w:val="center"/>
          </w:tcPr>
          <w:p w14:paraId="50499AA9" w14:textId="77777777" w:rsidR="00884DD1" w:rsidRPr="00413131" w:rsidRDefault="00884DD1" w:rsidP="00A63813">
            <w:pPr>
              <w:spacing w:after="0" w:line="240" w:lineRule="auto"/>
              <w:jc w:val="center"/>
              <w:rPr>
                <w:rFonts w:cstheme="minorHAnsi"/>
              </w:rPr>
            </w:pPr>
            <w:r w:rsidRPr="00413131">
              <w:rPr>
                <w:rFonts w:cstheme="minorHAnsi"/>
                <w:color w:val="000000"/>
              </w:rPr>
              <w:t>x</w:t>
            </w:r>
          </w:p>
        </w:tc>
        <w:tc>
          <w:tcPr>
            <w:tcW w:w="850" w:type="dxa"/>
            <w:shd w:val="clear" w:color="auto" w:fill="auto"/>
            <w:vAlign w:val="center"/>
          </w:tcPr>
          <w:p w14:paraId="32BF247B" w14:textId="77777777" w:rsidR="00884DD1" w:rsidRPr="00413131" w:rsidRDefault="00884DD1" w:rsidP="00A63813">
            <w:pPr>
              <w:spacing w:after="0" w:line="240" w:lineRule="auto"/>
              <w:jc w:val="center"/>
              <w:rPr>
                <w:rFonts w:cstheme="minorHAnsi"/>
              </w:rPr>
            </w:pPr>
            <w:r w:rsidRPr="00413131">
              <w:rPr>
                <w:rFonts w:cstheme="minorHAnsi"/>
                <w:color w:val="000000"/>
              </w:rPr>
              <w:t>x</w:t>
            </w:r>
          </w:p>
        </w:tc>
        <w:tc>
          <w:tcPr>
            <w:tcW w:w="1134" w:type="dxa"/>
            <w:shd w:val="clear" w:color="auto" w:fill="auto"/>
            <w:vAlign w:val="center"/>
          </w:tcPr>
          <w:p w14:paraId="69E7496A" w14:textId="77777777" w:rsidR="00884DD1" w:rsidRPr="00413131" w:rsidRDefault="00884DD1" w:rsidP="00A63813">
            <w:pPr>
              <w:spacing w:after="0" w:line="240" w:lineRule="auto"/>
              <w:jc w:val="center"/>
              <w:rPr>
                <w:rFonts w:cstheme="minorHAnsi"/>
              </w:rPr>
            </w:pPr>
            <w:r w:rsidRPr="00413131">
              <w:rPr>
                <w:rFonts w:cstheme="minorHAnsi"/>
                <w:color w:val="000000"/>
              </w:rPr>
              <w:t>x</w:t>
            </w:r>
          </w:p>
        </w:tc>
        <w:tc>
          <w:tcPr>
            <w:tcW w:w="1277" w:type="dxa"/>
          </w:tcPr>
          <w:p w14:paraId="68F85354" w14:textId="77777777" w:rsidR="00884DD1" w:rsidRPr="00413131" w:rsidRDefault="00884DD1" w:rsidP="00A63813">
            <w:pPr>
              <w:spacing w:after="0" w:line="240" w:lineRule="auto"/>
              <w:jc w:val="center"/>
              <w:rPr>
                <w:rFonts w:cstheme="minorHAnsi"/>
                <w:color w:val="000000"/>
              </w:rPr>
            </w:pPr>
            <w:r>
              <w:rPr>
                <w:rFonts w:cstheme="minorHAnsi"/>
                <w:color w:val="000000"/>
              </w:rPr>
              <w:t>x</w:t>
            </w:r>
          </w:p>
        </w:tc>
      </w:tr>
      <w:tr w:rsidR="00884DD1" w:rsidRPr="00413131" w14:paraId="1BB65FEB" w14:textId="77777777" w:rsidTr="00A63813">
        <w:trPr>
          <w:trHeight w:val="300"/>
        </w:trPr>
        <w:tc>
          <w:tcPr>
            <w:tcW w:w="13070" w:type="dxa"/>
            <w:gridSpan w:val="12"/>
            <w:shd w:val="clear" w:color="auto" w:fill="auto"/>
            <w:vAlign w:val="center"/>
          </w:tcPr>
          <w:p w14:paraId="6968D682" w14:textId="77777777" w:rsidR="00884DD1" w:rsidRPr="00413131" w:rsidRDefault="00884DD1" w:rsidP="00A63813">
            <w:pPr>
              <w:spacing w:after="0" w:line="240" w:lineRule="auto"/>
              <w:jc w:val="center"/>
              <w:rPr>
                <w:rFonts w:cstheme="minorHAnsi"/>
              </w:rPr>
            </w:pPr>
            <w:r w:rsidRPr="00413131">
              <w:rPr>
                <w:rFonts w:cstheme="minorHAnsi"/>
                <w:b/>
                <w:color w:val="000000"/>
              </w:rPr>
              <w:t>Strefa zewnętrzna</w:t>
            </w:r>
          </w:p>
        </w:tc>
        <w:tc>
          <w:tcPr>
            <w:tcW w:w="1277" w:type="dxa"/>
            <w:tcBorders>
              <w:bottom w:val="single" w:sz="4" w:space="0" w:color="808080"/>
            </w:tcBorders>
          </w:tcPr>
          <w:p w14:paraId="75FA3B00" w14:textId="77777777" w:rsidR="00884DD1" w:rsidRPr="00413131" w:rsidRDefault="00884DD1" w:rsidP="00A63813">
            <w:pPr>
              <w:spacing w:after="0" w:line="240" w:lineRule="auto"/>
              <w:jc w:val="center"/>
              <w:rPr>
                <w:rFonts w:cstheme="minorHAnsi"/>
                <w:b/>
                <w:color w:val="000000"/>
              </w:rPr>
            </w:pPr>
          </w:p>
        </w:tc>
      </w:tr>
      <w:tr w:rsidR="00884DD1" w:rsidRPr="00413131" w14:paraId="00EAF247" w14:textId="77777777" w:rsidTr="00A63813">
        <w:trPr>
          <w:trHeight w:val="300"/>
        </w:trPr>
        <w:tc>
          <w:tcPr>
            <w:tcW w:w="1305" w:type="dxa"/>
            <w:shd w:val="clear" w:color="auto" w:fill="auto"/>
            <w:vAlign w:val="center"/>
          </w:tcPr>
          <w:p w14:paraId="3E8A8A05" w14:textId="77777777" w:rsidR="00884DD1" w:rsidRPr="00413131" w:rsidRDefault="00884DD1" w:rsidP="00A63813">
            <w:pPr>
              <w:spacing w:after="0" w:line="240" w:lineRule="auto"/>
              <w:jc w:val="center"/>
              <w:rPr>
                <w:rFonts w:cstheme="minorHAnsi"/>
              </w:rPr>
            </w:pPr>
            <w:r>
              <w:rPr>
                <w:rFonts w:cstheme="minorHAnsi"/>
              </w:rPr>
              <w:t>Bolesław</w:t>
            </w:r>
          </w:p>
        </w:tc>
        <w:tc>
          <w:tcPr>
            <w:tcW w:w="1701" w:type="dxa"/>
            <w:shd w:val="clear" w:color="auto" w:fill="auto"/>
            <w:vAlign w:val="center"/>
          </w:tcPr>
          <w:p w14:paraId="63DDBEE0" w14:textId="77777777" w:rsidR="00884DD1" w:rsidRPr="00413131" w:rsidRDefault="00884DD1" w:rsidP="00A63813">
            <w:pPr>
              <w:spacing w:after="0" w:line="240" w:lineRule="auto"/>
              <w:jc w:val="center"/>
              <w:rPr>
                <w:rFonts w:cstheme="minorHAnsi"/>
              </w:rPr>
            </w:pPr>
            <w:r w:rsidRPr="00413131">
              <w:rPr>
                <w:rFonts w:cstheme="minorHAnsi"/>
                <w:color w:val="000000"/>
              </w:rPr>
              <w:t>w</w:t>
            </w:r>
          </w:p>
        </w:tc>
        <w:tc>
          <w:tcPr>
            <w:tcW w:w="1417" w:type="dxa"/>
            <w:shd w:val="clear" w:color="auto" w:fill="auto"/>
          </w:tcPr>
          <w:p w14:paraId="4CF08824" w14:textId="77777777" w:rsidR="00884DD1" w:rsidRPr="00413131" w:rsidRDefault="00884DD1" w:rsidP="00A63813">
            <w:pPr>
              <w:spacing w:after="0" w:line="240" w:lineRule="auto"/>
              <w:jc w:val="center"/>
              <w:rPr>
                <w:rFonts w:cstheme="minorHAnsi"/>
              </w:rPr>
            </w:pPr>
            <w:r w:rsidRPr="00E93DF4">
              <w:t xml:space="preserve"> 40,8    </w:t>
            </w:r>
          </w:p>
        </w:tc>
        <w:tc>
          <w:tcPr>
            <w:tcW w:w="1418" w:type="dxa"/>
            <w:tcBorders>
              <w:right w:val="single" w:sz="12" w:space="0" w:color="3494BA" w:themeColor="accent1"/>
            </w:tcBorders>
            <w:shd w:val="clear" w:color="auto" w:fill="auto"/>
          </w:tcPr>
          <w:p w14:paraId="42A3B514" w14:textId="77777777" w:rsidR="00884DD1" w:rsidRPr="00413131" w:rsidRDefault="00884DD1" w:rsidP="00A63813">
            <w:pPr>
              <w:spacing w:after="0" w:line="240" w:lineRule="auto"/>
              <w:jc w:val="center"/>
              <w:rPr>
                <w:rFonts w:cstheme="minorHAnsi"/>
              </w:rPr>
            </w:pPr>
            <w:r w:rsidRPr="00AB00AB">
              <w:t>7 566</w:t>
            </w:r>
          </w:p>
        </w:tc>
        <w:tc>
          <w:tcPr>
            <w:tcW w:w="992" w:type="dxa"/>
            <w:tcBorders>
              <w:top w:val="single" w:sz="12" w:space="0" w:color="3494BA" w:themeColor="accent1"/>
              <w:left w:val="single" w:sz="12" w:space="0" w:color="3494BA" w:themeColor="accent1"/>
              <w:bottom w:val="single" w:sz="12" w:space="0" w:color="3494BA" w:themeColor="accent1"/>
              <w:right w:val="single" w:sz="12" w:space="0" w:color="3494BA" w:themeColor="accent1"/>
            </w:tcBorders>
            <w:shd w:val="clear" w:color="auto" w:fill="D9D9D9" w:themeFill="background1" w:themeFillShade="D9"/>
          </w:tcPr>
          <w:p w14:paraId="1D669E9A" w14:textId="77777777" w:rsidR="00884DD1" w:rsidRPr="00413131" w:rsidRDefault="00884DD1" w:rsidP="00A63813">
            <w:pPr>
              <w:spacing w:after="0" w:line="240" w:lineRule="auto"/>
              <w:jc w:val="center"/>
              <w:rPr>
                <w:rFonts w:cstheme="minorHAnsi"/>
              </w:rPr>
            </w:pPr>
            <w:r w:rsidRPr="003C7479">
              <w:t>90,0</w:t>
            </w:r>
          </w:p>
        </w:tc>
        <w:tc>
          <w:tcPr>
            <w:tcW w:w="851" w:type="dxa"/>
            <w:tcBorders>
              <w:top w:val="single" w:sz="12" w:space="0" w:color="3494BA" w:themeColor="accent1"/>
              <w:left w:val="single" w:sz="12" w:space="0" w:color="3494BA" w:themeColor="accent1"/>
              <w:bottom w:val="single" w:sz="12" w:space="0" w:color="3494BA" w:themeColor="accent1"/>
              <w:right w:val="single" w:sz="12" w:space="0" w:color="3494BA" w:themeColor="accent1"/>
            </w:tcBorders>
            <w:shd w:val="clear" w:color="auto" w:fill="D9D9D9" w:themeFill="background1" w:themeFillShade="D9"/>
          </w:tcPr>
          <w:p w14:paraId="04DF47BA" w14:textId="77777777" w:rsidR="00884DD1" w:rsidRPr="00413131" w:rsidRDefault="00884DD1" w:rsidP="00A63813">
            <w:pPr>
              <w:spacing w:after="0" w:line="240" w:lineRule="auto"/>
              <w:jc w:val="center"/>
              <w:rPr>
                <w:rFonts w:cstheme="minorHAnsi"/>
              </w:rPr>
            </w:pPr>
            <w:r w:rsidRPr="003C7479">
              <w:t>4,1</w:t>
            </w:r>
          </w:p>
        </w:tc>
        <w:tc>
          <w:tcPr>
            <w:tcW w:w="850" w:type="dxa"/>
            <w:tcBorders>
              <w:top w:val="single" w:sz="12" w:space="0" w:color="3494BA" w:themeColor="accent1"/>
              <w:left w:val="single" w:sz="12" w:space="0" w:color="3494BA" w:themeColor="accent1"/>
              <w:bottom w:val="single" w:sz="12" w:space="0" w:color="3494BA" w:themeColor="accent1"/>
              <w:right w:val="single" w:sz="12" w:space="0" w:color="3494BA" w:themeColor="accent1"/>
            </w:tcBorders>
            <w:shd w:val="clear" w:color="auto" w:fill="D9D9D9" w:themeFill="background1" w:themeFillShade="D9"/>
          </w:tcPr>
          <w:p w14:paraId="04CF4C84" w14:textId="77777777" w:rsidR="00884DD1" w:rsidRPr="00413131" w:rsidRDefault="00884DD1" w:rsidP="00A63813">
            <w:pPr>
              <w:spacing w:after="0" w:line="240" w:lineRule="auto"/>
              <w:jc w:val="center"/>
              <w:rPr>
                <w:rFonts w:cstheme="minorHAnsi"/>
              </w:rPr>
            </w:pPr>
            <w:r w:rsidRPr="003C7479">
              <w:t>109,5</w:t>
            </w:r>
          </w:p>
        </w:tc>
        <w:tc>
          <w:tcPr>
            <w:tcW w:w="851" w:type="dxa"/>
            <w:tcBorders>
              <w:top w:val="single" w:sz="12" w:space="0" w:color="3494BA" w:themeColor="accent1"/>
              <w:left w:val="single" w:sz="12" w:space="0" w:color="3494BA" w:themeColor="accent1"/>
              <w:bottom w:val="single" w:sz="12" w:space="0" w:color="3494BA" w:themeColor="accent1"/>
              <w:right w:val="single" w:sz="12" w:space="0" w:color="3494BA" w:themeColor="accent1"/>
            </w:tcBorders>
            <w:shd w:val="clear" w:color="auto" w:fill="FFFFFF" w:themeFill="background1"/>
          </w:tcPr>
          <w:p w14:paraId="1FB7224C" w14:textId="77777777" w:rsidR="00884DD1" w:rsidRPr="00413131" w:rsidRDefault="00884DD1" w:rsidP="00A63813">
            <w:pPr>
              <w:spacing w:after="0" w:line="240" w:lineRule="auto"/>
              <w:jc w:val="center"/>
              <w:rPr>
                <w:rFonts w:cstheme="minorHAnsi"/>
              </w:rPr>
            </w:pPr>
            <w:r w:rsidRPr="003C7479">
              <w:t>73,4</w:t>
            </w:r>
          </w:p>
        </w:tc>
        <w:tc>
          <w:tcPr>
            <w:tcW w:w="850" w:type="dxa"/>
            <w:tcBorders>
              <w:top w:val="single" w:sz="4" w:space="0" w:color="808080" w:themeColor="background1" w:themeShade="80"/>
              <w:left w:val="single" w:sz="12" w:space="0" w:color="3494BA" w:themeColor="accent1"/>
              <w:bottom w:val="single" w:sz="4" w:space="0" w:color="808080" w:themeColor="background1" w:themeShade="80"/>
              <w:right w:val="single" w:sz="4" w:space="0" w:color="808080" w:themeColor="background1" w:themeShade="80"/>
            </w:tcBorders>
            <w:shd w:val="clear" w:color="auto" w:fill="D9D9D9" w:themeFill="background1" w:themeFillShade="D9"/>
          </w:tcPr>
          <w:p w14:paraId="4FAB75E1" w14:textId="77777777" w:rsidR="00884DD1" w:rsidRPr="00413131" w:rsidRDefault="00884DD1" w:rsidP="00A63813">
            <w:pPr>
              <w:spacing w:after="0" w:line="240" w:lineRule="auto"/>
              <w:jc w:val="center"/>
              <w:rPr>
                <w:rFonts w:cstheme="minorHAnsi"/>
              </w:rPr>
            </w:pPr>
            <w:r w:rsidRPr="003C7479">
              <w:t>97,8</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FD62262" w14:textId="77777777" w:rsidR="00884DD1" w:rsidRPr="00413131" w:rsidRDefault="00884DD1" w:rsidP="00A63813">
            <w:pPr>
              <w:spacing w:after="0" w:line="240" w:lineRule="auto"/>
              <w:jc w:val="center"/>
              <w:rPr>
                <w:rFonts w:cstheme="minorHAnsi"/>
              </w:rPr>
            </w:pPr>
            <w:r w:rsidRPr="003C7479">
              <w:t>98,8</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F20E26" w14:textId="77777777" w:rsidR="00884DD1" w:rsidRPr="00413131" w:rsidRDefault="00884DD1" w:rsidP="00A63813">
            <w:pPr>
              <w:spacing w:after="0" w:line="240" w:lineRule="auto"/>
              <w:jc w:val="center"/>
              <w:rPr>
                <w:rFonts w:cstheme="minorHAnsi"/>
              </w:rPr>
            </w:pPr>
            <w:r w:rsidRPr="003C7479">
              <w:t>8,2</w:t>
            </w:r>
          </w:p>
        </w:tc>
        <w:tc>
          <w:tcPr>
            <w:tcW w:w="1134" w:type="dxa"/>
            <w:tcBorders>
              <w:left w:val="single" w:sz="4" w:space="0" w:color="808080" w:themeColor="background1" w:themeShade="80"/>
              <w:right w:val="single" w:sz="4" w:space="0" w:color="75BDA7" w:themeColor="accent3"/>
            </w:tcBorders>
            <w:shd w:val="clear" w:color="auto" w:fill="auto"/>
            <w:vAlign w:val="center"/>
          </w:tcPr>
          <w:p w14:paraId="6515AE14" w14:textId="77777777" w:rsidR="00884DD1" w:rsidRPr="00413131" w:rsidRDefault="00884DD1" w:rsidP="00A63813">
            <w:pPr>
              <w:spacing w:after="0" w:line="240" w:lineRule="auto"/>
              <w:jc w:val="center"/>
              <w:rPr>
                <w:rFonts w:cstheme="minorHAnsi"/>
              </w:rPr>
            </w:pPr>
            <w:r>
              <w:rPr>
                <w:rFonts w:cstheme="minorHAnsi"/>
              </w:rPr>
              <w:t>5/7</w:t>
            </w:r>
          </w:p>
        </w:tc>
        <w:tc>
          <w:tcPr>
            <w:tcW w:w="1277" w:type="dxa"/>
            <w:tcBorders>
              <w:top w:val="single" w:sz="4" w:space="0" w:color="808080"/>
              <w:left w:val="single" w:sz="4" w:space="0" w:color="75BDA7" w:themeColor="accent3"/>
            </w:tcBorders>
          </w:tcPr>
          <w:p w14:paraId="0BC43326" w14:textId="77777777" w:rsidR="00884DD1" w:rsidRDefault="00884DD1" w:rsidP="00A63813">
            <w:pPr>
              <w:spacing w:after="0" w:line="240" w:lineRule="auto"/>
              <w:jc w:val="center"/>
              <w:rPr>
                <w:rFonts w:cstheme="minorHAnsi"/>
              </w:rPr>
            </w:pPr>
            <w:r>
              <w:rPr>
                <w:rFonts w:cstheme="minorHAnsi"/>
              </w:rPr>
              <w:t>4/7</w:t>
            </w:r>
          </w:p>
        </w:tc>
      </w:tr>
      <w:tr w:rsidR="00884DD1" w:rsidRPr="00413131" w14:paraId="418ED102" w14:textId="77777777" w:rsidTr="00A63813">
        <w:trPr>
          <w:trHeight w:val="300"/>
        </w:trPr>
        <w:tc>
          <w:tcPr>
            <w:tcW w:w="1305" w:type="dxa"/>
            <w:tcBorders>
              <w:top w:val="single" w:sz="4" w:space="0" w:color="A6A6A6" w:themeColor="background1" w:themeShade="A6"/>
            </w:tcBorders>
            <w:shd w:val="clear" w:color="auto" w:fill="auto"/>
            <w:vAlign w:val="center"/>
          </w:tcPr>
          <w:p w14:paraId="505D4D7B" w14:textId="77777777" w:rsidR="00884DD1" w:rsidRPr="00413131" w:rsidRDefault="00884DD1" w:rsidP="00A63813">
            <w:pPr>
              <w:spacing w:after="0" w:line="240" w:lineRule="auto"/>
              <w:jc w:val="center"/>
              <w:rPr>
                <w:rFonts w:cstheme="minorHAnsi"/>
              </w:rPr>
            </w:pPr>
            <w:r>
              <w:rPr>
                <w:rFonts w:cstheme="minorHAnsi"/>
              </w:rPr>
              <w:t>Klucze</w:t>
            </w:r>
          </w:p>
        </w:tc>
        <w:tc>
          <w:tcPr>
            <w:tcW w:w="1701" w:type="dxa"/>
            <w:tcBorders>
              <w:top w:val="single" w:sz="4" w:space="0" w:color="A6A6A6" w:themeColor="background1" w:themeShade="A6"/>
            </w:tcBorders>
            <w:shd w:val="clear" w:color="auto" w:fill="auto"/>
            <w:vAlign w:val="center"/>
          </w:tcPr>
          <w:p w14:paraId="267250A9" w14:textId="77777777" w:rsidR="00884DD1" w:rsidRPr="00413131" w:rsidRDefault="00884DD1" w:rsidP="00A63813">
            <w:pPr>
              <w:spacing w:after="0" w:line="240" w:lineRule="auto"/>
              <w:jc w:val="center"/>
              <w:rPr>
                <w:rFonts w:cstheme="minorHAnsi"/>
              </w:rPr>
            </w:pPr>
            <w:r w:rsidRPr="00413131">
              <w:rPr>
                <w:rFonts w:cstheme="minorHAnsi"/>
                <w:color w:val="000000"/>
              </w:rPr>
              <w:t>w</w:t>
            </w:r>
          </w:p>
        </w:tc>
        <w:tc>
          <w:tcPr>
            <w:tcW w:w="1417" w:type="dxa"/>
            <w:tcBorders>
              <w:top w:val="single" w:sz="4" w:space="0" w:color="A6A6A6" w:themeColor="background1" w:themeShade="A6"/>
            </w:tcBorders>
            <w:shd w:val="clear" w:color="auto" w:fill="auto"/>
          </w:tcPr>
          <w:p w14:paraId="0A8D34B2" w14:textId="77777777" w:rsidR="00884DD1" w:rsidRPr="00413131" w:rsidRDefault="00884DD1" w:rsidP="00A63813">
            <w:pPr>
              <w:spacing w:after="0" w:line="240" w:lineRule="auto"/>
              <w:jc w:val="center"/>
              <w:rPr>
                <w:rFonts w:cstheme="minorHAnsi"/>
              </w:rPr>
            </w:pPr>
            <w:r w:rsidRPr="00E93DF4">
              <w:t xml:space="preserve"> 119,5    </w:t>
            </w:r>
          </w:p>
        </w:tc>
        <w:tc>
          <w:tcPr>
            <w:tcW w:w="1418" w:type="dxa"/>
            <w:tcBorders>
              <w:top w:val="single" w:sz="4" w:space="0" w:color="A6A6A6" w:themeColor="background1" w:themeShade="A6"/>
              <w:right w:val="single" w:sz="12" w:space="0" w:color="3494BA" w:themeColor="accent1"/>
            </w:tcBorders>
            <w:shd w:val="clear" w:color="auto" w:fill="auto"/>
          </w:tcPr>
          <w:p w14:paraId="662B4736" w14:textId="77777777" w:rsidR="00884DD1" w:rsidRPr="00413131" w:rsidRDefault="00884DD1" w:rsidP="00A63813">
            <w:pPr>
              <w:spacing w:after="0" w:line="240" w:lineRule="auto"/>
              <w:jc w:val="center"/>
              <w:rPr>
                <w:rFonts w:cstheme="minorHAnsi"/>
              </w:rPr>
            </w:pPr>
            <w:r w:rsidRPr="00AB00AB">
              <w:t>14 439</w:t>
            </w:r>
          </w:p>
        </w:tc>
        <w:tc>
          <w:tcPr>
            <w:tcW w:w="992" w:type="dxa"/>
            <w:tcBorders>
              <w:top w:val="single" w:sz="12" w:space="0" w:color="3494BA" w:themeColor="accent1"/>
              <w:left w:val="single" w:sz="12" w:space="0" w:color="3494BA" w:themeColor="accent1"/>
              <w:bottom w:val="single" w:sz="12" w:space="0" w:color="3494BA" w:themeColor="accent1"/>
              <w:right w:val="single" w:sz="12" w:space="0" w:color="3494BA" w:themeColor="accent1"/>
            </w:tcBorders>
            <w:shd w:val="clear" w:color="auto" w:fill="D9D9D9" w:themeFill="background1" w:themeFillShade="D9"/>
          </w:tcPr>
          <w:p w14:paraId="2557C573" w14:textId="77777777" w:rsidR="00884DD1" w:rsidRPr="00413131" w:rsidRDefault="00884DD1" w:rsidP="00A63813">
            <w:pPr>
              <w:spacing w:after="0" w:line="240" w:lineRule="auto"/>
              <w:jc w:val="center"/>
              <w:rPr>
                <w:rFonts w:cstheme="minorHAnsi"/>
              </w:rPr>
            </w:pPr>
            <w:r w:rsidRPr="003C7479">
              <w:t>126,1</w:t>
            </w:r>
          </w:p>
        </w:tc>
        <w:tc>
          <w:tcPr>
            <w:tcW w:w="851" w:type="dxa"/>
            <w:tcBorders>
              <w:top w:val="single" w:sz="12" w:space="0" w:color="3494BA" w:themeColor="accent1"/>
              <w:left w:val="single" w:sz="12" w:space="0" w:color="3494BA" w:themeColor="accent1"/>
              <w:bottom w:val="single" w:sz="4" w:space="0" w:color="808080" w:themeColor="background1" w:themeShade="80"/>
              <w:right w:val="single" w:sz="12" w:space="0" w:color="3494BA" w:themeColor="accent1"/>
            </w:tcBorders>
            <w:shd w:val="clear" w:color="auto" w:fill="FFFFFF" w:themeFill="background1"/>
          </w:tcPr>
          <w:p w14:paraId="333E96A8" w14:textId="77777777" w:rsidR="00884DD1" w:rsidRPr="00413131" w:rsidRDefault="00884DD1" w:rsidP="00A63813">
            <w:pPr>
              <w:spacing w:after="0" w:line="240" w:lineRule="auto"/>
              <w:jc w:val="center"/>
              <w:rPr>
                <w:rFonts w:cstheme="minorHAnsi"/>
              </w:rPr>
            </w:pPr>
            <w:r w:rsidRPr="003C7479">
              <w:t>1,9</w:t>
            </w:r>
          </w:p>
        </w:tc>
        <w:tc>
          <w:tcPr>
            <w:tcW w:w="850" w:type="dxa"/>
            <w:tcBorders>
              <w:top w:val="single" w:sz="12" w:space="0" w:color="3494BA" w:themeColor="accent1"/>
              <w:left w:val="single" w:sz="12" w:space="0" w:color="3494BA" w:themeColor="accent1"/>
              <w:bottom w:val="single" w:sz="12" w:space="0" w:color="3494BA" w:themeColor="accent1"/>
              <w:right w:val="single" w:sz="12" w:space="0" w:color="3494BA" w:themeColor="accent1"/>
            </w:tcBorders>
            <w:shd w:val="clear" w:color="auto" w:fill="D9D9D9" w:themeFill="background1" w:themeFillShade="D9"/>
          </w:tcPr>
          <w:p w14:paraId="0326889F" w14:textId="77777777" w:rsidR="00884DD1" w:rsidRPr="00413131" w:rsidRDefault="00884DD1" w:rsidP="00A63813">
            <w:pPr>
              <w:spacing w:after="0" w:line="240" w:lineRule="auto"/>
              <w:jc w:val="center"/>
              <w:rPr>
                <w:rFonts w:cstheme="minorHAnsi"/>
              </w:rPr>
            </w:pPr>
            <w:r w:rsidRPr="003C7479">
              <w:t>107,6</w:t>
            </w:r>
          </w:p>
        </w:tc>
        <w:tc>
          <w:tcPr>
            <w:tcW w:w="851" w:type="dxa"/>
            <w:tcBorders>
              <w:top w:val="single" w:sz="12" w:space="0" w:color="3494BA" w:themeColor="accent1"/>
              <w:left w:val="single" w:sz="12" w:space="0" w:color="3494BA" w:themeColor="accent1"/>
              <w:bottom w:val="single" w:sz="4" w:space="0" w:color="808080" w:themeColor="background1" w:themeShade="80"/>
              <w:right w:val="single" w:sz="4" w:space="0" w:color="808080" w:themeColor="background1" w:themeShade="80"/>
            </w:tcBorders>
            <w:shd w:val="clear" w:color="auto" w:fill="D9D9D9" w:themeFill="background1" w:themeFillShade="D9"/>
          </w:tcPr>
          <w:p w14:paraId="7853EA37" w14:textId="77777777" w:rsidR="00884DD1" w:rsidRPr="00413131" w:rsidRDefault="00884DD1" w:rsidP="00A63813">
            <w:pPr>
              <w:spacing w:after="0" w:line="240" w:lineRule="auto"/>
              <w:jc w:val="center"/>
              <w:rPr>
                <w:rFonts w:cstheme="minorHAnsi"/>
              </w:rPr>
            </w:pPr>
            <w:r w:rsidRPr="003C7479">
              <w:t>85,8</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64D3180" w14:textId="77777777" w:rsidR="00884DD1" w:rsidRPr="00413131" w:rsidRDefault="00884DD1" w:rsidP="00A63813">
            <w:pPr>
              <w:spacing w:after="0" w:line="240" w:lineRule="auto"/>
              <w:jc w:val="center"/>
              <w:rPr>
                <w:rFonts w:cstheme="minorHAnsi"/>
              </w:rPr>
            </w:pPr>
            <w:r w:rsidRPr="003C7479">
              <w:t>88,0</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A70CD19" w14:textId="77777777" w:rsidR="00884DD1" w:rsidRPr="00413131" w:rsidRDefault="00884DD1" w:rsidP="00A63813">
            <w:pPr>
              <w:spacing w:after="0" w:line="240" w:lineRule="auto"/>
              <w:jc w:val="center"/>
              <w:rPr>
                <w:rFonts w:cstheme="minorHAnsi"/>
              </w:rPr>
            </w:pPr>
            <w:r w:rsidRPr="003C7479">
              <w:t>72,4</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4790A80" w14:textId="77777777" w:rsidR="00884DD1" w:rsidRPr="00413131" w:rsidRDefault="00884DD1" w:rsidP="00A63813">
            <w:pPr>
              <w:spacing w:after="0" w:line="240" w:lineRule="auto"/>
              <w:jc w:val="center"/>
              <w:rPr>
                <w:rFonts w:cstheme="minorHAnsi"/>
              </w:rPr>
            </w:pPr>
            <w:r w:rsidRPr="003C7479">
              <w:t>25,5</w:t>
            </w:r>
          </w:p>
        </w:tc>
        <w:tc>
          <w:tcPr>
            <w:tcW w:w="1134" w:type="dxa"/>
            <w:tcBorders>
              <w:left w:val="single" w:sz="4" w:space="0" w:color="808080" w:themeColor="background1" w:themeShade="80"/>
            </w:tcBorders>
            <w:shd w:val="clear" w:color="auto" w:fill="auto"/>
            <w:vAlign w:val="center"/>
          </w:tcPr>
          <w:p w14:paraId="6294C935" w14:textId="77777777" w:rsidR="00884DD1" w:rsidRPr="00413131" w:rsidRDefault="00884DD1" w:rsidP="00A63813">
            <w:pPr>
              <w:keepNext/>
              <w:spacing w:after="0" w:line="240" w:lineRule="auto"/>
              <w:jc w:val="center"/>
              <w:rPr>
                <w:rFonts w:cstheme="minorHAnsi"/>
              </w:rPr>
            </w:pPr>
            <w:r>
              <w:rPr>
                <w:rFonts w:cstheme="minorHAnsi"/>
              </w:rPr>
              <w:t>5/7</w:t>
            </w:r>
          </w:p>
        </w:tc>
        <w:tc>
          <w:tcPr>
            <w:tcW w:w="1277" w:type="dxa"/>
          </w:tcPr>
          <w:p w14:paraId="00F7E813" w14:textId="77777777" w:rsidR="00884DD1" w:rsidRDefault="00884DD1" w:rsidP="00A63813">
            <w:pPr>
              <w:keepNext/>
              <w:spacing w:after="0" w:line="240" w:lineRule="auto"/>
              <w:jc w:val="center"/>
              <w:rPr>
                <w:rFonts w:cstheme="minorHAnsi"/>
              </w:rPr>
            </w:pPr>
            <w:r>
              <w:rPr>
                <w:rFonts w:cstheme="minorHAnsi"/>
              </w:rPr>
              <w:t>2/7</w:t>
            </w:r>
          </w:p>
        </w:tc>
      </w:tr>
    </w:tbl>
    <w:p w14:paraId="1EF504BC" w14:textId="77777777" w:rsidR="00884DD1" w:rsidRDefault="00884DD1" w:rsidP="00884DD1">
      <w:pPr>
        <w:pStyle w:val="Legenda"/>
        <w:sectPr w:rsidR="00884DD1" w:rsidSect="00A63813">
          <w:pgSz w:w="16838" w:h="11906" w:orient="landscape"/>
          <w:pgMar w:top="1417" w:right="1417" w:bottom="1417" w:left="1417" w:header="708" w:footer="708" w:gutter="0"/>
          <w:cols w:space="708"/>
          <w:docGrid w:linePitch="360"/>
        </w:sectPr>
      </w:pPr>
      <w:r>
        <w:t xml:space="preserve">Źródło: </w:t>
      </w:r>
      <w:r w:rsidRPr="001546A4">
        <w:t>opracowanie własne na podstawie danych BDL GUS i opracowań GUS.</w:t>
      </w:r>
    </w:p>
    <w:p w14:paraId="38C3586B" w14:textId="77777777" w:rsidR="00884DD1" w:rsidRDefault="00884DD1" w:rsidP="00884DD1">
      <w:pPr>
        <w:spacing w:line="360" w:lineRule="auto"/>
        <w:jc w:val="both"/>
      </w:pPr>
      <w:r>
        <w:t>Na podstawie obu analiz możliwe było sformułowanie następujących wniosków:</w:t>
      </w:r>
    </w:p>
    <w:p w14:paraId="3923DC96" w14:textId="0489A580" w:rsidR="00884DD1" w:rsidRDefault="00884DD1" w:rsidP="00884DD1">
      <w:pPr>
        <w:pStyle w:val="Akapitzlist"/>
        <w:numPr>
          <w:ilvl w:val="0"/>
          <w:numId w:val="10"/>
        </w:numPr>
        <w:spacing w:line="360" w:lineRule="auto"/>
        <w:jc w:val="both"/>
      </w:pPr>
      <w:r>
        <w:t xml:space="preserve">W analizowanym okresie odnotowano znaczący wzrost wartości </w:t>
      </w:r>
      <w:r w:rsidRPr="00B840B0">
        <w:t>wskaźnika F1 dotyczącego liczby wyjeżdżających do pracy w</w:t>
      </w:r>
      <w:r>
        <w:t xml:space="preserve"> Gminie Olkusz na 1 000 mieszkańców w wieku produkcyjnym. Wzrost dotyczył zarówno Gminy Bolesław</w:t>
      </w:r>
      <w:r w:rsidR="0036331E">
        <w:t>,</w:t>
      </w:r>
      <w:r>
        <w:t xml:space="preserve"> jak i Gminy Klucze, co świadczy o coraz w</w:t>
      </w:r>
      <w:bookmarkStart w:id="7" w:name="_GoBack"/>
      <w:bookmarkEnd w:id="7"/>
      <w:r>
        <w:t>ięk</w:t>
      </w:r>
      <w:r w:rsidR="00CE3B2A">
        <w:t xml:space="preserve">szym potencjale gospodarczym w </w:t>
      </w:r>
      <w:r>
        <w:t>OF Olkusza, w tym na wzmocnienie powiązań społeczno-gospodarczych pomiędzy gminami obszaru.</w:t>
      </w:r>
    </w:p>
    <w:p w14:paraId="2FD2268F" w14:textId="55861CCE" w:rsidR="00884DD1" w:rsidRDefault="00884DD1" w:rsidP="00884DD1">
      <w:pPr>
        <w:pStyle w:val="Akapitzlist"/>
        <w:numPr>
          <w:ilvl w:val="0"/>
          <w:numId w:val="10"/>
        </w:numPr>
        <w:spacing w:line="360" w:lineRule="auto"/>
        <w:jc w:val="both"/>
      </w:pPr>
      <w:r w:rsidRPr="001F1BC9">
        <w:t>Wskaźnik F2 dotyczący liczby zameldowań z rdzenia MOF na 1 000 mieszkańców w ostatnich latach</w:t>
      </w:r>
      <w:r>
        <w:t xml:space="preserve"> wzrósł w przypadku Gminy Bolesław, co wskazuje na fakt, że mieszkańcy Gminy Olkusz częściej wyprowadzają się na tereny podmiejskie we wspomnianej gminie. Należy jednakże zaznaczyć, że pomimo przeprow</w:t>
      </w:r>
      <w:r w:rsidR="00CE3B2A">
        <w:t xml:space="preserve">adzki dawni mieszkańcy rdzenia </w:t>
      </w:r>
      <w:r>
        <w:t>OF nadal zachowują swoje powiązania z Gminą Olkusz, przede wszystkim z miastem Olkusz, w którym pracują, korzystają z oferty kulturalnej, edukacyjnej, zdrowotnej itp. Wspomniany wskaźnik zmalał w przypadku Gminy Klucze, co wskazuje na osłabienie popularności tej gminy jako miejsca zamieszkania dla migrantów z Gminy Olkusz.</w:t>
      </w:r>
    </w:p>
    <w:p w14:paraId="2C1DFB0A" w14:textId="2F9ECC89" w:rsidR="00884DD1" w:rsidRDefault="00884DD1" w:rsidP="00884DD1">
      <w:pPr>
        <w:pStyle w:val="Akapitzlist"/>
        <w:numPr>
          <w:ilvl w:val="0"/>
          <w:numId w:val="10"/>
        </w:numPr>
        <w:spacing w:line="360" w:lineRule="auto"/>
        <w:jc w:val="both"/>
      </w:pPr>
      <w:r w:rsidRPr="001F1BC9">
        <w:t>Odsetek pracujących w zawodach pozarolniczych jako stosunek do średniej wojewódzkiej (wskaźnik S1) przekraczał przyjęte wartości bazowe w obu gminach zarówno w 2003 r. i 2022</w:t>
      </w:r>
      <w:r>
        <w:t> </w:t>
      </w:r>
      <w:r w:rsidRPr="001F1BC9">
        <w:t>r.,</w:t>
      </w:r>
      <w:r>
        <w:t xml:space="preserve"> ponadto zarówno w jednej</w:t>
      </w:r>
      <w:r w:rsidR="0036331E">
        <w:t>,</w:t>
      </w:r>
      <w:r>
        <w:t xml:space="preserve"> jak i drugiej gminie wskaźnik ten uległ zwiększeniu na przestrzeni lat. Wskazuje to na coraz niższą liczbę pracujących w zawodach rolniczych, przy jednoczesnym rozwoju innych gałęzi gospodarki, m.in. usług. Wzrost wskaźnika świadczy także o wzmocnieniu powiązań funkcjonalnych p</w:t>
      </w:r>
      <w:r w:rsidR="00CE3B2A">
        <w:t xml:space="preserve">omiędzy poszczególnymi gminami </w:t>
      </w:r>
      <w:r>
        <w:t>OF Olkusza.</w:t>
      </w:r>
    </w:p>
    <w:p w14:paraId="1534863A" w14:textId="77777777" w:rsidR="00884DD1" w:rsidRDefault="00884DD1" w:rsidP="00884DD1">
      <w:pPr>
        <w:pStyle w:val="Akapitzlist"/>
        <w:numPr>
          <w:ilvl w:val="0"/>
          <w:numId w:val="10"/>
        </w:numPr>
        <w:spacing w:line="360" w:lineRule="auto"/>
        <w:jc w:val="both"/>
      </w:pPr>
      <w:r w:rsidRPr="00CE7F4B">
        <w:t>Liczba podmiotów gospodarczych w przeliczeniu na 1 000 mieszkańców w odniesieniu do</w:t>
      </w:r>
      <w:r>
        <w:t> </w:t>
      </w:r>
      <w:r w:rsidRPr="00CE7F4B">
        <w:t>średniej wojewódzkiej (S2)</w:t>
      </w:r>
      <w:r>
        <w:t xml:space="preserve"> w latach 2014-2023 nieznacznie wzrosła w Gminie Bolesław i zmalała w przypadku Gminy Klucze. Warto jednakże zauważyć, że kryterium dla Gminy Klucze zostało spełnione, natomiast Gmina Bolesław zbliżyła się do wymaganych 75%, jednakże nie przekroczyła wymaganej wartości wskaźnika.</w:t>
      </w:r>
    </w:p>
    <w:p w14:paraId="1B0E1F83" w14:textId="2C6C7350" w:rsidR="00884DD1" w:rsidRDefault="00884DD1" w:rsidP="00884DD1">
      <w:pPr>
        <w:pStyle w:val="Akapitzlist"/>
        <w:numPr>
          <w:ilvl w:val="0"/>
          <w:numId w:val="10"/>
        </w:numPr>
        <w:spacing w:line="360" w:lineRule="auto"/>
        <w:jc w:val="both"/>
      </w:pPr>
      <w:r>
        <w:t xml:space="preserve">Wskaźnik S3, czyli udział podmiotów gospodarczych sklasyfikowanych w usługach wyższego rzędu (sekcje J–R) w stosunku do wszystkich podmiotów w obu gminach znacznie przekraczał wymaganą wartość bazową, co </w:t>
      </w:r>
      <w:r w:rsidR="00CE3B2A">
        <w:t xml:space="preserve">pozwala zaliczyć obie gminy do </w:t>
      </w:r>
      <w:r>
        <w:t>OF Olkusza.</w:t>
      </w:r>
    </w:p>
    <w:p w14:paraId="07DBA029" w14:textId="77777777" w:rsidR="00884DD1" w:rsidRDefault="00884DD1" w:rsidP="00884DD1">
      <w:pPr>
        <w:pStyle w:val="Akapitzlist"/>
        <w:numPr>
          <w:ilvl w:val="0"/>
          <w:numId w:val="10"/>
        </w:numPr>
        <w:spacing w:line="360" w:lineRule="auto"/>
        <w:jc w:val="both"/>
      </w:pPr>
      <w:r w:rsidRPr="00E16AC6">
        <w:t>Gęstość zaludnienia (bez lasów i wód) w stosunku do średniej wojewódzkiej (M1) była wysoka zarówno w 2014 r. jak i 2023 r.,</w:t>
      </w:r>
      <w:r>
        <w:t xml:space="preserve"> co pozwala zaliczyć Gminę Bolesław i Gminę Klucze do MOF Olkusza.</w:t>
      </w:r>
    </w:p>
    <w:p w14:paraId="0F9C07E2" w14:textId="5FD311F0" w:rsidR="00884DD1" w:rsidRDefault="00884DD1" w:rsidP="00884DD1">
      <w:pPr>
        <w:pStyle w:val="Akapitzlist"/>
        <w:numPr>
          <w:ilvl w:val="0"/>
          <w:numId w:val="10"/>
        </w:numPr>
        <w:spacing w:line="360" w:lineRule="auto"/>
        <w:jc w:val="both"/>
      </w:pPr>
      <w:r w:rsidRPr="001354CD">
        <w:t>Wskaźnik liczby mieszkań oddawanych do użytku w przeliczeniu na 1 000 mieszkańców</w:t>
      </w:r>
      <w:r>
        <w:t xml:space="preserve"> (M2)</w:t>
      </w:r>
      <w:r w:rsidRPr="001354CD">
        <w:t xml:space="preserve"> dla obu gmin w </w:t>
      </w:r>
      <w:r>
        <w:t xml:space="preserve">2013 r. i </w:t>
      </w:r>
      <w:r w:rsidRPr="001354CD">
        <w:t>2023 r. był</w:t>
      </w:r>
      <w:r>
        <w:t xml:space="preserve"> niski – znacznie niższy od wymaganej wartości bazowej. Ponadto na przestrzeni lat wskaźnik uległ zmniejszeniu. Świadczy to o niskim rozwoju za</w:t>
      </w:r>
      <w:r w:rsidR="00CE3B2A">
        <w:t xml:space="preserve">sobów mieszkaniowych w gminach </w:t>
      </w:r>
      <w:r>
        <w:t>OF Olkusza, co łączy się ze spadkiem liczby ludności w analizowanych gminach.</w:t>
      </w:r>
    </w:p>
    <w:p w14:paraId="6FE72B69" w14:textId="3FB45A88" w:rsidR="00884DD1" w:rsidRDefault="00884DD1" w:rsidP="00884DD1">
      <w:pPr>
        <w:spacing w:line="360" w:lineRule="auto"/>
        <w:jc w:val="both"/>
      </w:pPr>
      <w:r>
        <w:t>W starszej wersji delimitacji Gmina Bolesław spełnia 3 na 7 analizowanych wskaźników, a Gmina Klucze 6 na 7 – minimalna wymagana liczba wskaźników wynosi 3, zatem o</w:t>
      </w:r>
      <w:r w:rsidR="00CE3B2A">
        <w:t xml:space="preserve">bie gminy zostały zaliczone do </w:t>
      </w:r>
      <w:r>
        <w:t>OF Olkusza. Nowsza wersja delimitacji wskazuje na zwiększanie się pow</w:t>
      </w:r>
      <w:r w:rsidR="00CE3B2A">
        <w:t xml:space="preserve">iązań funkcjonalnych w obrębie </w:t>
      </w:r>
      <w:r>
        <w:t>OF Olkusza – w przypadku Gminy Bolesław spełnionych zostało 5 na 7 wskaźników, a tendencje wzrostową odnotowano w 4 na 7 wskaźnikach. W Gminie Klucze liczba wskaźników spełniających wartości bazowe zmalała o jeden, wynosząc 5 na 7 – tendencja wzrostowa dotyczyła 2 z 7 wskaźników. Analiza wykazała, że zgodnie z przyjętą metodologią obie gminy należy zaliczyć do obszaru funkcjonalnego Olkusza. Zarówno Gmina Bolesław, jak i Gmina Klucze znajdują się pod</w:t>
      </w:r>
      <w:r w:rsidR="00CE3B2A">
        <w:t xml:space="preserve"> silnym oddziaływaniem rdzenia </w:t>
      </w:r>
      <w:r>
        <w:t>OF, które w obu gminach wzrasta.</w:t>
      </w:r>
    </w:p>
    <w:p w14:paraId="465044DF" w14:textId="5BF685A7" w:rsidR="00A74723" w:rsidRDefault="00884DD1" w:rsidP="00884DD1">
      <w:pPr>
        <w:spacing w:line="360" w:lineRule="auto"/>
        <w:jc w:val="both"/>
      </w:pPr>
      <w:r>
        <w:t>Przeprowadzona analiza delimitacyjna w</w:t>
      </w:r>
      <w:r w:rsidR="00CE3B2A">
        <w:t xml:space="preserve">skazuje, że gminy zaliczone do </w:t>
      </w:r>
      <w:r>
        <w:t xml:space="preserve">OF Olkusza wykazują silne powiązania funkcjonalno-przestrzenne, co predestynuje je do </w:t>
      </w:r>
      <w:r w:rsidRPr="00776BA6">
        <w:t>realizacji Innego Instrumentu Terytorialnego</w:t>
      </w:r>
      <w:r>
        <w:t xml:space="preserve">. Gmina Olkusz (rdzeń) wraz z Gminą Bolesław i Gminą Klucze tworzą obszar </w:t>
      </w:r>
      <w:r w:rsidRPr="00776BA6">
        <w:t>wzrostu społeczno-gospodarczego</w:t>
      </w:r>
      <w:r>
        <w:t>, w którym procesy zachodzące w jednej gminie oddziałują na pozostałe. Ponadt</w:t>
      </w:r>
      <w:r w:rsidR="0036331E">
        <w:t xml:space="preserve">o lokalizacja geograficzna gmin, </w:t>
      </w:r>
      <w:r>
        <w:t xml:space="preserve">które ze </w:t>
      </w:r>
      <w:r w:rsidR="0036331E">
        <w:t>sobą sąsiadują</w:t>
      </w:r>
      <w:r>
        <w:t xml:space="preserve"> stwarza naturalne ramy współpracy, co dodatkowo uzasadnia podjęcie interwencji w ramach IIT.</w:t>
      </w:r>
    </w:p>
    <w:p w14:paraId="67A44BC7" w14:textId="77777777" w:rsidR="00A74723" w:rsidRDefault="00A74723">
      <w:r>
        <w:br w:type="page"/>
      </w:r>
    </w:p>
    <w:p w14:paraId="44EBD4E8" w14:textId="19334C4E" w:rsidR="009F2E80" w:rsidRPr="009B1037" w:rsidRDefault="009B1037" w:rsidP="009B1037">
      <w:pPr>
        <w:pStyle w:val="Nagwek2"/>
      </w:pPr>
      <w:bookmarkStart w:id="8" w:name="_Toc181691572"/>
      <w:r w:rsidRPr="009B1037">
        <w:t xml:space="preserve">1.2 </w:t>
      </w:r>
      <w:r w:rsidR="009F2E80" w:rsidRPr="009B1037">
        <w:t>Ogólna charakterystyka Obszaru</w:t>
      </w:r>
      <w:bookmarkEnd w:id="8"/>
    </w:p>
    <w:p w14:paraId="781E77D4" w14:textId="42A8C1C1" w:rsidR="002044BE" w:rsidRDefault="002044BE" w:rsidP="00A22821">
      <w:pPr>
        <w:spacing w:after="0" w:line="360" w:lineRule="auto"/>
        <w:jc w:val="both"/>
      </w:pPr>
      <w:r>
        <w:t xml:space="preserve">Obszar funkcjonalny Olkusza (OF Olkusza) obejmuje trzy gminy: Gminę Olkusz (gmina miejsko-wiejska), Gminę Bolesław oraz Gminę Klucze (gminy wiejskie), położone w województwie małopolskim, w powiecie olkuskim. </w:t>
      </w:r>
    </w:p>
    <w:p w14:paraId="2C5047BF" w14:textId="1C149224" w:rsidR="005E537C" w:rsidRDefault="005E537C" w:rsidP="005E537C">
      <w:pPr>
        <w:pStyle w:val="Legenda"/>
        <w:keepNext/>
        <w:jc w:val="both"/>
      </w:pPr>
      <w:r>
        <w:t xml:space="preserve">Rysunek </w:t>
      </w:r>
      <w:r w:rsidR="004D3018">
        <w:rPr>
          <w:noProof/>
        </w:rPr>
        <w:fldChar w:fldCharType="begin"/>
      </w:r>
      <w:r w:rsidR="004D3018">
        <w:rPr>
          <w:noProof/>
        </w:rPr>
        <w:instrText xml:space="preserve"> SEQ Rysunek \* ARABIC </w:instrText>
      </w:r>
      <w:r w:rsidR="004D3018">
        <w:rPr>
          <w:noProof/>
        </w:rPr>
        <w:fldChar w:fldCharType="separate"/>
      </w:r>
      <w:r w:rsidR="003606AF">
        <w:rPr>
          <w:noProof/>
        </w:rPr>
        <w:t>1</w:t>
      </w:r>
      <w:r w:rsidR="004D3018">
        <w:rPr>
          <w:noProof/>
        </w:rPr>
        <w:fldChar w:fldCharType="end"/>
      </w:r>
      <w:r>
        <w:t xml:space="preserve"> Położenie OF Olkusza</w:t>
      </w:r>
    </w:p>
    <w:p w14:paraId="781740D3" w14:textId="678A561D" w:rsidR="005E537C" w:rsidRDefault="008609AE" w:rsidP="007B4123">
      <w:pPr>
        <w:spacing w:after="0" w:line="360" w:lineRule="auto"/>
        <w:jc w:val="center"/>
      </w:pPr>
      <w:r>
        <w:rPr>
          <w:noProof/>
          <w:lang w:eastAsia="pl-PL"/>
        </w:rPr>
        <w:drawing>
          <wp:inline distT="0" distB="0" distL="0" distR="0" wp14:anchorId="411681C2" wp14:editId="089FDAAF">
            <wp:extent cx="5760720" cy="6779895"/>
            <wp:effectExtent l="0" t="0" r="0" b="190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łożenie (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720" cy="6779895"/>
                    </a:xfrm>
                    <a:prstGeom prst="rect">
                      <a:avLst/>
                    </a:prstGeom>
                  </pic:spPr>
                </pic:pic>
              </a:graphicData>
            </a:graphic>
          </wp:inline>
        </w:drawing>
      </w:r>
    </w:p>
    <w:p w14:paraId="4BE10873" w14:textId="3687A6B8" w:rsidR="005E537C" w:rsidRPr="005E537C" w:rsidRDefault="005E537C" w:rsidP="002044BE">
      <w:pPr>
        <w:spacing w:after="0" w:line="360" w:lineRule="auto"/>
        <w:jc w:val="both"/>
        <w:rPr>
          <w:i/>
          <w:iCs/>
          <w:noProof/>
          <w:color w:val="373545" w:themeColor="text2"/>
          <w:kern w:val="2"/>
          <w:sz w:val="18"/>
          <w:szCs w:val="18"/>
          <w14:ligatures w14:val="standardContextual"/>
        </w:rPr>
      </w:pPr>
      <w:r w:rsidRPr="005E537C">
        <w:rPr>
          <w:i/>
          <w:iCs/>
          <w:noProof/>
          <w:color w:val="373545" w:themeColor="text2"/>
          <w:kern w:val="2"/>
          <w:sz w:val="18"/>
          <w:szCs w:val="18"/>
          <w14:ligatures w14:val="standardContextual"/>
        </w:rPr>
        <w:t>Źródło: opracowanie własne</w:t>
      </w:r>
    </w:p>
    <w:p w14:paraId="34634CDA" w14:textId="24485AE0" w:rsidR="002044BE" w:rsidRDefault="002044BE" w:rsidP="002044BE">
      <w:pPr>
        <w:spacing w:after="0" w:line="360" w:lineRule="auto"/>
        <w:jc w:val="both"/>
      </w:pPr>
      <w:r>
        <w:t xml:space="preserve">Obszar funkcjonalny Olkusza zajmuje powierzchnię </w:t>
      </w:r>
      <w:r w:rsidR="006F7829">
        <w:t>31 114</w:t>
      </w:r>
      <w:r>
        <w:t xml:space="preserve"> ha. Według danych za 2023 r., populacja obszaru wynosiła </w:t>
      </w:r>
      <w:r w:rsidR="006F7829">
        <w:t>67 635</w:t>
      </w:r>
      <w:r>
        <w:t xml:space="preserve"> osób, natomiast gęstość zaludnienia była na poziomie ok. </w:t>
      </w:r>
      <w:r w:rsidR="006F7829">
        <w:t xml:space="preserve">217 </w:t>
      </w:r>
      <w:r>
        <w:t>os./km</w:t>
      </w:r>
      <w:r w:rsidRPr="00B46E1F">
        <w:rPr>
          <w:vertAlign w:val="superscript"/>
        </w:rPr>
        <w:t>2</w:t>
      </w:r>
      <w:r>
        <w:t>.</w:t>
      </w:r>
    </w:p>
    <w:p w14:paraId="608823F4" w14:textId="53B0DA37" w:rsidR="002044BE" w:rsidRDefault="002044BE" w:rsidP="002044BE">
      <w:pPr>
        <w:pStyle w:val="Legenda"/>
        <w:keepNext/>
        <w:spacing w:before="240" w:after="0"/>
      </w:pPr>
      <w:bookmarkStart w:id="9" w:name="_Toc181860165"/>
      <w:r>
        <w:t xml:space="preserve">Tabela </w:t>
      </w:r>
      <w:r>
        <w:rPr>
          <w:noProof/>
        </w:rPr>
        <w:fldChar w:fldCharType="begin"/>
      </w:r>
      <w:r>
        <w:rPr>
          <w:noProof/>
        </w:rPr>
        <w:instrText xml:space="preserve"> SEQ Tabela \* ARABIC </w:instrText>
      </w:r>
      <w:r>
        <w:rPr>
          <w:noProof/>
        </w:rPr>
        <w:fldChar w:fldCharType="separate"/>
      </w:r>
      <w:r w:rsidR="003606AF">
        <w:rPr>
          <w:noProof/>
        </w:rPr>
        <w:t>4</w:t>
      </w:r>
      <w:r>
        <w:rPr>
          <w:noProof/>
        </w:rPr>
        <w:fldChar w:fldCharType="end"/>
      </w:r>
      <w:r>
        <w:t xml:space="preserve"> Liczba ludności, powierzchnia i gęstość zaludnienia OF Olkusza w 2023 r.</w:t>
      </w:r>
      <w:bookmarkEnd w:id="9"/>
    </w:p>
    <w:tbl>
      <w:tblPr>
        <w:tblStyle w:val="Tabela-Siatk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547"/>
        <w:gridCol w:w="1134"/>
        <w:gridCol w:w="1134"/>
        <w:gridCol w:w="1602"/>
        <w:gridCol w:w="1251"/>
        <w:gridCol w:w="1394"/>
      </w:tblGrid>
      <w:tr w:rsidR="002044BE" w:rsidRPr="007B025A" w14:paraId="2C300226" w14:textId="77777777" w:rsidTr="002044BE">
        <w:tc>
          <w:tcPr>
            <w:tcW w:w="2547" w:type="dxa"/>
            <w:shd w:val="clear" w:color="auto" w:fill="D4EAF3" w:themeFill="accent1" w:themeFillTint="33"/>
            <w:vAlign w:val="center"/>
          </w:tcPr>
          <w:p w14:paraId="61D842E5" w14:textId="77777777" w:rsidR="002044BE" w:rsidRPr="007B025A" w:rsidRDefault="002044BE" w:rsidP="002044BE">
            <w:pPr>
              <w:rPr>
                <w:sz w:val="20"/>
              </w:rPr>
            </w:pPr>
          </w:p>
        </w:tc>
        <w:tc>
          <w:tcPr>
            <w:tcW w:w="1134" w:type="dxa"/>
            <w:shd w:val="clear" w:color="auto" w:fill="D4EAF3" w:themeFill="accent1" w:themeFillTint="33"/>
            <w:vAlign w:val="center"/>
          </w:tcPr>
          <w:p w14:paraId="408B43AD" w14:textId="77777777" w:rsidR="002044BE" w:rsidRPr="007B025A" w:rsidRDefault="002044BE" w:rsidP="002044BE">
            <w:pPr>
              <w:jc w:val="center"/>
              <w:rPr>
                <w:sz w:val="20"/>
              </w:rPr>
            </w:pPr>
            <w:r w:rsidRPr="007B025A">
              <w:rPr>
                <w:sz w:val="20"/>
              </w:rPr>
              <w:t>Liczba ludności</w:t>
            </w:r>
          </w:p>
        </w:tc>
        <w:tc>
          <w:tcPr>
            <w:tcW w:w="1134" w:type="dxa"/>
            <w:shd w:val="clear" w:color="auto" w:fill="D4EAF3" w:themeFill="accent1" w:themeFillTint="33"/>
            <w:vAlign w:val="center"/>
          </w:tcPr>
          <w:p w14:paraId="39B020AF" w14:textId="77777777" w:rsidR="002044BE" w:rsidRPr="007B025A" w:rsidRDefault="002044BE" w:rsidP="002044BE">
            <w:pPr>
              <w:jc w:val="center"/>
              <w:rPr>
                <w:sz w:val="20"/>
              </w:rPr>
            </w:pPr>
            <w:r w:rsidRPr="007B025A">
              <w:rPr>
                <w:sz w:val="20"/>
              </w:rPr>
              <w:t>Udział [%]</w:t>
            </w:r>
          </w:p>
        </w:tc>
        <w:tc>
          <w:tcPr>
            <w:tcW w:w="1602" w:type="dxa"/>
            <w:shd w:val="clear" w:color="auto" w:fill="D4EAF3" w:themeFill="accent1" w:themeFillTint="33"/>
            <w:vAlign w:val="center"/>
          </w:tcPr>
          <w:p w14:paraId="34E2B570" w14:textId="77777777" w:rsidR="002044BE" w:rsidRPr="007B025A" w:rsidRDefault="002044BE" w:rsidP="002044BE">
            <w:pPr>
              <w:jc w:val="center"/>
              <w:rPr>
                <w:sz w:val="20"/>
              </w:rPr>
            </w:pPr>
            <w:r w:rsidRPr="007B025A">
              <w:rPr>
                <w:sz w:val="20"/>
              </w:rPr>
              <w:t>Powierzchnia [ha]</w:t>
            </w:r>
          </w:p>
        </w:tc>
        <w:tc>
          <w:tcPr>
            <w:tcW w:w="1251" w:type="dxa"/>
            <w:shd w:val="clear" w:color="auto" w:fill="D4EAF3" w:themeFill="accent1" w:themeFillTint="33"/>
            <w:vAlign w:val="center"/>
          </w:tcPr>
          <w:p w14:paraId="785757AF" w14:textId="77777777" w:rsidR="002044BE" w:rsidRPr="007B025A" w:rsidRDefault="002044BE" w:rsidP="002044BE">
            <w:pPr>
              <w:jc w:val="center"/>
              <w:rPr>
                <w:sz w:val="20"/>
              </w:rPr>
            </w:pPr>
            <w:r w:rsidRPr="007B025A">
              <w:rPr>
                <w:sz w:val="20"/>
              </w:rPr>
              <w:t>Udział [%]</w:t>
            </w:r>
          </w:p>
        </w:tc>
        <w:tc>
          <w:tcPr>
            <w:tcW w:w="1394" w:type="dxa"/>
            <w:shd w:val="clear" w:color="auto" w:fill="D4EAF3" w:themeFill="accent1" w:themeFillTint="33"/>
            <w:vAlign w:val="center"/>
          </w:tcPr>
          <w:p w14:paraId="49CBD826" w14:textId="77777777" w:rsidR="002044BE" w:rsidRPr="007B025A" w:rsidRDefault="002044BE" w:rsidP="002044BE">
            <w:pPr>
              <w:jc w:val="center"/>
              <w:rPr>
                <w:sz w:val="20"/>
              </w:rPr>
            </w:pPr>
            <w:r w:rsidRPr="007B025A">
              <w:rPr>
                <w:sz w:val="20"/>
              </w:rPr>
              <w:t>Gęstość zaludnienia [os./km2]</w:t>
            </w:r>
          </w:p>
        </w:tc>
      </w:tr>
      <w:tr w:rsidR="002044BE" w:rsidRPr="007B025A" w14:paraId="663613A5" w14:textId="77777777" w:rsidTr="002044BE">
        <w:tc>
          <w:tcPr>
            <w:tcW w:w="2547" w:type="dxa"/>
            <w:vAlign w:val="center"/>
          </w:tcPr>
          <w:p w14:paraId="3CACC9F1" w14:textId="704D2D7A" w:rsidR="002044BE" w:rsidRDefault="002044BE" w:rsidP="002044BE">
            <w:pPr>
              <w:rPr>
                <w:sz w:val="20"/>
              </w:rPr>
            </w:pPr>
            <w:r>
              <w:rPr>
                <w:sz w:val="20"/>
              </w:rPr>
              <w:t>Gmina Olkusz</w:t>
            </w:r>
          </w:p>
        </w:tc>
        <w:tc>
          <w:tcPr>
            <w:tcW w:w="1134" w:type="dxa"/>
          </w:tcPr>
          <w:p w14:paraId="4BCBF1D3" w14:textId="5BD6941C" w:rsidR="002044BE" w:rsidRPr="002044BE" w:rsidRDefault="002044BE" w:rsidP="002044BE">
            <w:pPr>
              <w:jc w:val="center"/>
              <w:rPr>
                <w:sz w:val="20"/>
              </w:rPr>
            </w:pPr>
            <w:r w:rsidRPr="002044BE">
              <w:rPr>
                <w:sz w:val="20"/>
              </w:rPr>
              <w:t>45 630</w:t>
            </w:r>
          </w:p>
        </w:tc>
        <w:tc>
          <w:tcPr>
            <w:tcW w:w="1134" w:type="dxa"/>
            <w:vAlign w:val="center"/>
          </w:tcPr>
          <w:p w14:paraId="6A090C3C" w14:textId="31F2A5EC" w:rsidR="002044BE" w:rsidRPr="007B025A" w:rsidRDefault="002044BE" w:rsidP="002044BE">
            <w:pPr>
              <w:jc w:val="center"/>
              <w:rPr>
                <w:sz w:val="20"/>
              </w:rPr>
            </w:pPr>
            <w:r w:rsidRPr="002044BE">
              <w:rPr>
                <w:sz w:val="20"/>
              </w:rPr>
              <w:t>67,47%</w:t>
            </w:r>
          </w:p>
        </w:tc>
        <w:tc>
          <w:tcPr>
            <w:tcW w:w="1602" w:type="dxa"/>
          </w:tcPr>
          <w:p w14:paraId="782738CE" w14:textId="51FCDA80" w:rsidR="002044BE" w:rsidRPr="002044BE" w:rsidRDefault="002044BE" w:rsidP="002044BE">
            <w:pPr>
              <w:jc w:val="center"/>
              <w:rPr>
                <w:sz w:val="20"/>
              </w:rPr>
            </w:pPr>
            <w:r w:rsidRPr="002044BE">
              <w:rPr>
                <w:sz w:val="20"/>
              </w:rPr>
              <w:t>15 091</w:t>
            </w:r>
          </w:p>
        </w:tc>
        <w:tc>
          <w:tcPr>
            <w:tcW w:w="1251" w:type="dxa"/>
            <w:vAlign w:val="center"/>
          </w:tcPr>
          <w:p w14:paraId="13BB1CF7" w14:textId="10C5A728" w:rsidR="002044BE" w:rsidRPr="007B025A" w:rsidRDefault="002044BE" w:rsidP="002044BE">
            <w:pPr>
              <w:jc w:val="center"/>
              <w:rPr>
                <w:sz w:val="20"/>
              </w:rPr>
            </w:pPr>
            <w:r w:rsidRPr="002044BE">
              <w:rPr>
                <w:sz w:val="20"/>
              </w:rPr>
              <w:t>48,5%</w:t>
            </w:r>
          </w:p>
        </w:tc>
        <w:tc>
          <w:tcPr>
            <w:tcW w:w="1394" w:type="dxa"/>
            <w:vAlign w:val="center"/>
          </w:tcPr>
          <w:p w14:paraId="0C52F963" w14:textId="4EDE5BB6" w:rsidR="002044BE" w:rsidRPr="007B025A" w:rsidRDefault="001702A8" w:rsidP="002044BE">
            <w:pPr>
              <w:jc w:val="center"/>
              <w:rPr>
                <w:sz w:val="20"/>
              </w:rPr>
            </w:pPr>
            <w:r>
              <w:rPr>
                <w:sz w:val="20"/>
              </w:rPr>
              <w:t>302,37</w:t>
            </w:r>
          </w:p>
        </w:tc>
      </w:tr>
      <w:tr w:rsidR="002044BE" w:rsidRPr="007B025A" w14:paraId="2D46E27B" w14:textId="77777777" w:rsidTr="002044BE">
        <w:tc>
          <w:tcPr>
            <w:tcW w:w="2547" w:type="dxa"/>
            <w:vAlign w:val="center"/>
          </w:tcPr>
          <w:p w14:paraId="48CF2533" w14:textId="78C77B9B" w:rsidR="002044BE" w:rsidRPr="007B025A" w:rsidRDefault="002044BE" w:rsidP="002044BE">
            <w:pPr>
              <w:rPr>
                <w:sz w:val="20"/>
              </w:rPr>
            </w:pPr>
            <w:r>
              <w:rPr>
                <w:sz w:val="20"/>
              </w:rPr>
              <w:t>Gmina Bolesław</w:t>
            </w:r>
          </w:p>
        </w:tc>
        <w:tc>
          <w:tcPr>
            <w:tcW w:w="1134" w:type="dxa"/>
          </w:tcPr>
          <w:p w14:paraId="4DD2F49C" w14:textId="33F1D546" w:rsidR="002044BE" w:rsidRPr="007B025A" w:rsidRDefault="002044BE" w:rsidP="002044BE">
            <w:pPr>
              <w:jc w:val="center"/>
              <w:rPr>
                <w:sz w:val="20"/>
              </w:rPr>
            </w:pPr>
            <w:r w:rsidRPr="002044BE">
              <w:rPr>
                <w:sz w:val="20"/>
              </w:rPr>
              <w:t>7 566</w:t>
            </w:r>
          </w:p>
        </w:tc>
        <w:tc>
          <w:tcPr>
            <w:tcW w:w="1134" w:type="dxa"/>
          </w:tcPr>
          <w:p w14:paraId="30FEF1C5" w14:textId="0A879281" w:rsidR="002044BE" w:rsidRPr="007B025A" w:rsidRDefault="002044BE" w:rsidP="002044BE">
            <w:pPr>
              <w:jc w:val="center"/>
              <w:rPr>
                <w:sz w:val="20"/>
              </w:rPr>
            </w:pPr>
            <w:r w:rsidRPr="002044BE">
              <w:rPr>
                <w:sz w:val="20"/>
              </w:rPr>
              <w:t>11,19%</w:t>
            </w:r>
          </w:p>
        </w:tc>
        <w:tc>
          <w:tcPr>
            <w:tcW w:w="1602" w:type="dxa"/>
          </w:tcPr>
          <w:p w14:paraId="3F8DD806" w14:textId="0EA87AD3" w:rsidR="002044BE" w:rsidRPr="007B025A" w:rsidRDefault="002044BE" w:rsidP="002044BE">
            <w:pPr>
              <w:jc w:val="center"/>
              <w:rPr>
                <w:sz w:val="20"/>
              </w:rPr>
            </w:pPr>
            <w:r w:rsidRPr="002044BE">
              <w:rPr>
                <w:sz w:val="20"/>
              </w:rPr>
              <w:t>4 076</w:t>
            </w:r>
          </w:p>
        </w:tc>
        <w:tc>
          <w:tcPr>
            <w:tcW w:w="1251" w:type="dxa"/>
          </w:tcPr>
          <w:p w14:paraId="3FA546A1" w14:textId="0C840322" w:rsidR="002044BE" w:rsidRPr="007B025A" w:rsidRDefault="002044BE" w:rsidP="002044BE">
            <w:pPr>
              <w:jc w:val="center"/>
              <w:rPr>
                <w:sz w:val="20"/>
              </w:rPr>
            </w:pPr>
            <w:r w:rsidRPr="002044BE">
              <w:rPr>
                <w:sz w:val="20"/>
              </w:rPr>
              <w:t>13,1%</w:t>
            </w:r>
          </w:p>
        </w:tc>
        <w:tc>
          <w:tcPr>
            <w:tcW w:w="1394" w:type="dxa"/>
            <w:vAlign w:val="center"/>
          </w:tcPr>
          <w:p w14:paraId="42937045" w14:textId="437130D4" w:rsidR="002044BE" w:rsidRPr="007B025A" w:rsidRDefault="001702A8" w:rsidP="002044BE">
            <w:pPr>
              <w:jc w:val="center"/>
              <w:rPr>
                <w:sz w:val="20"/>
              </w:rPr>
            </w:pPr>
            <w:r>
              <w:rPr>
                <w:sz w:val="20"/>
              </w:rPr>
              <w:t>185,62</w:t>
            </w:r>
          </w:p>
        </w:tc>
      </w:tr>
      <w:tr w:rsidR="002044BE" w:rsidRPr="007B025A" w14:paraId="347447B2" w14:textId="77777777" w:rsidTr="002044BE">
        <w:tc>
          <w:tcPr>
            <w:tcW w:w="2547" w:type="dxa"/>
            <w:vAlign w:val="center"/>
          </w:tcPr>
          <w:p w14:paraId="136B533E" w14:textId="03311196" w:rsidR="002044BE" w:rsidRPr="007B025A" w:rsidRDefault="002044BE" w:rsidP="002044BE">
            <w:pPr>
              <w:rPr>
                <w:sz w:val="20"/>
              </w:rPr>
            </w:pPr>
            <w:r>
              <w:rPr>
                <w:sz w:val="20"/>
              </w:rPr>
              <w:t>Gmina Klucze</w:t>
            </w:r>
          </w:p>
        </w:tc>
        <w:tc>
          <w:tcPr>
            <w:tcW w:w="1134" w:type="dxa"/>
          </w:tcPr>
          <w:p w14:paraId="17651ABD" w14:textId="5F8FB81E" w:rsidR="002044BE" w:rsidRPr="007B025A" w:rsidRDefault="002044BE" w:rsidP="002044BE">
            <w:pPr>
              <w:jc w:val="center"/>
              <w:rPr>
                <w:sz w:val="20"/>
              </w:rPr>
            </w:pPr>
            <w:r w:rsidRPr="002044BE">
              <w:rPr>
                <w:sz w:val="20"/>
              </w:rPr>
              <w:t>14 439</w:t>
            </w:r>
          </w:p>
        </w:tc>
        <w:tc>
          <w:tcPr>
            <w:tcW w:w="1134" w:type="dxa"/>
          </w:tcPr>
          <w:p w14:paraId="1CBF7464" w14:textId="0E0C16B0" w:rsidR="002044BE" w:rsidRPr="007B025A" w:rsidRDefault="002044BE" w:rsidP="002044BE">
            <w:pPr>
              <w:jc w:val="center"/>
              <w:rPr>
                <w:sz w:val="20"/>
              </w:rPr>
            </w:pPr>
            <w:r w:rsidRPr="002044BE">
              <w:rPr>
                <w:sz w:val="20"/>
              </w:rPr>
              <w:t>21,35%</w:t>
            </w:r>
          </w:p>
        </w:tc>
        <w:tc>
          <w:tcPr>
            <w:tcW w:w="1602" w:type="dxa"/>
          </w:tcPr>
          <w:p w14:paraId="77E0EEDA" w14:textId="707C99DD" w:rsidR="002044BE" w:rsidRPr="007B025A" w:rsidRDefault="002044BE" w:rsidP="002044BE">
            <w:pPr>
              <w:jc w:val="center"/>
              <w:rPr>
                <w:sz w:val="20"/>
              </w:rPr>
            </w:pPr>
            <w:r w:rsidRPr="002044BE">
              <w:rPr>
                <w:sz w:val="20"/>
              </w:rPr>
              <w:t>11 947</w:t>
            </w:r>
          </w:p>
        </w:tc>
        <w:tc>
          <w:tcPr>
            <w:tcW w:w="1251" w:type="dxa"/>
          </w:tcPr>
          <w:p w14:paraId="0B3808D3" w14:textId="3F78E946" w:rsidR="002044BE" w:rsidRPr="007B025A" w:rsidRDefault="002044BE" w:rsidP="002044BE">
            <w:pPr>
              <w:jc w:val="center"/>
              <w:rPr>
                <w:sz w:val="20"/>
              </w:rPr>
            </w:pPr>
            <w:r w:rsidRPr="002044BE">
              <w:rPr>
                <w:sz w:val="20"/>
              </w:rPr>
              <w:t>38,4%</w:t>
            </w:r>
          </w:p>
        </w:tc>
        <w:tc>
          <w:tcPr>
            <w:tcW w:w="1394" w:type="dxa"/>
            <w:vAlign w:val="center"/>
          </w:tcPr>
          <w:p w14:paraId="7FB74237" w14:textId="686B1B71" w:rsidR="002044BE" w:rsidRPr="007B025A" w:rsidRDefault="001702A8" w:rsidP="002044BE">
            <w:pPr>
              <w:jc w:val="center"/>
              <w:rPr>
                <w:sz w:val="20"/>
              </w:rPr>
            </w:pPr>
            <w:r>
              <w:rPr>
                <w:sz w:val="20"/>
              </w:rPr>
              <w:t>120,86</w:t>
            </w:r>
          </w:p>
        </w:tc>
      </w:tr>
      <w:tr w:rsidR="002044BE" w:rsidRPr="007B025A" w14:paraId="2FCB6E08" w14:textId="77777777" w:rsidTr="002044BE">
        <w:tc>
          <w:tcPr>
            <w:tcW w:w="2547" w:type="dxa"/>
            <w:vAlign w:val="center"/>
          </w:tcPr>
          <w:p w14:paraId="0DEA71DF" w14:textId="0DAFB053" w:rsidR="002044BE" w:rsidRPr="007B025A" w:rsidRDefault="002044BE" w:rsidP="002044BE">
            <w:pPr>
              <w:rPr>
                <w:sz w:val="20"/>
              </w:rPr>
            </w:pPr>
            <w:r w:rsidRPr="007B025A">
              <w:rPr>
                <w:sz w:val="20"/>
              </w:rPr>
              <w:t xml:space="preserve">Obszar funkcjonalny </w:t>
            </w:r>
            <w:r>
              <w:rPr>
                <w:sz w:val="20"/>
              </w:rPr>
              <w:t>Olkusza</w:t>
            </w:r>
          </w:p>
        </w:tc>
        <w:tc>
          <w:tcPr>
            <w:tcW w:w="1134" w:type="dxa"/>
          </w:tcPr>
          <w:p w14:paraId="761F2DCF" w14:textId="70A55844" w:rsidR="002044BE" w:rsidRPr="007B025A" w:rsidRDefault="002044BE" w:rsidP="002044BE">
            <w:pPr>
              <w:jc w:val="center"/>
              <w:rPr>
                <w:sz w:val="20"/>
              </w:rPr>
            </w:pPr>
            <w:r w:rsidRPr="002044BE">
              <w:rPr>
                <w:sz w:val="20"/>
              </w:rPr>
              <w:t>67 635</w:t>
            </w:r>
          </w:p>
        </w:tc>
        <w:tc>
          <w:tcPr>
            <w:tcW w:w="1134" w:type="dxa"/>
            <w:vAlign w:val="center"/>
          </w:tcPr>
          <w:p w14:paraId="252D4813" w14:textId="586A1FAA" w:rsidR="002044BE" w:rsidRPr="007B025A" w:rsidRDefault="002044BE" w:rsidP="002044BE">
            <w:pPr>
              <w:jc w:val="center"/>
              <w:rPr>
                <w:sz w:val="20"/>
              </w:rPr>
            </w:pPr>
            <w:r w:rsidRPr="002044BE">
              <w:rPr>
                <w:sz w:val="20"/>
              </w:rPr>
              <w:t>100,00%</w:t>
            </w:r>
          </w:p>
        </w:tc>
        <w:tc>
          <w:tcPr>
            <w:tcW w:w="1602" w:type="dxa"/>
            <w:vAlign w:val="center"/>
          </w:tcPr>
          <w:p w14:paraId="5532CDB4" w14:textId="4640950F" w:rsidR="002044BE" w:rsidRPr="007B025A" w:rsidRDefault="002044BE" w:rsidP="002044BE">
            <w:pPr>
              <w:jc w:val="center"/>
              <w:rPr>
                <w:sz w:val="20"/>
              </w:rPr>
            </w:pPr>
            <w:r w:rsidRPr="002044BE">
              <w:rPr>
                <w:sz w:val="20"/>
              </w:rPr>
              <w:t>31 114</w:t>
            </w:r>
          </w:p>
        </w:tc>
        <w:tc>
          <w:tcPr>
            <w:tcW w:w="1251" w:type="dxa"/>
            <w:vAlign w:val="center"/>
          </w:tcPr>
          <w:p w14:paraId="190A5333" w14:textId="31F61A73" w:rsidR="002044BE" w:rsidRPr="007B025A" w:rsidRDefault="002044BE" w:rsidP="002044BE">
            <w:pPr>
              <w:jc w:val="center"/>
              <w:rPr>
                <w:sz w:val="20"/>
              </w:rPr>
            </w:pPr>
            <w:r w:rsidRPr="002044BE">
              <w:rPr>
                <w:sz w:val="20"/>
              </w:rPr>
              <w:t>100,0%</w:t>
            </w:r>
          </w:p>
        </w:tc>
        <w:tc>
          <w:tcPr>
            <w:tcW w:w="1394" w:type="dxa"/>
            <w:vAlign w:val="center"/>
          </w:tcPr>
          <w:p w14:paraId="3C269914" w14:textId="7008A380" w:rsidR="002044BE" w:rsidRPr="007B025A" w:rsidRDefault="001702A8" w:rsidP="002044BE">
            <w:pPr>
              <w:jc w:val="center"/>
              <w:rPr>
                <w:sz w:val="20"/>
              </w:rPr>
            </w:pPr>
            <w:r>
              <w:rPr>
                <w:sz w:val="20"/>
              </w:rPr>
              <w:t>217,38</w:t>
            </w:r>
          </w:p>
        </w:tc>
      </w:tr>
    </w:tbl>
    <w:p w14:paraId="44DD0B12" w14:textId="4CA46E27" w:rsidR="00D01256" w:rsidRPr="00D01256" w:rsidRDefault="00D01256" w:rsidP="00D01256">
      <w:pPr>
        <w:spacing w:line="360" w:lineRule="auto"/>
        <w:jc w:val="both"/>
        <w:rPr>
          <w:i/>
          <w:iCs/>
          <w:color w:val="373545" w:themeColor="text2"/>
          <w:kern w:val="2"/>
          <w:sz w:val="18"/>
          <w:szCs w:val="18"/>
          <w14:ligatures w14:val="standardContextual"/>
        </w:rPr>
      </w:pPr>
      <w:r w:rsidRPr="00D01256">
        <w:rPr>
          <w:i/>
          <w:iCs/>
          <w:color w:val="373545" w:themeColor="text2"/>
          <w:kern w:val="2"/>
          <w:sz w:val="18"/>
          <w:szCs w:val="18"/>
          <w14:ligatures w14:val="standardContextual"/>
        </w:rPr>
        <w:t>Źródło: BDL GUS</w:t>
      </w:r>
      <w:r>
        <w:rPr>
          <w:i/>
          <w:iCs/>
          <w:color w:val="373545" w:themeColor="text2"/>
          <w:kern w:val="2"/>
          <w:sz w:val="18"/>
          <w:szCs w:val="18"/>
          <w14:ligatures w14:val="standardContextual"/>
        </w:rPr>
        <w:t>.</w:t>
      </w:r>
    </w:p>
    <w:p w14:paraId="49846B8A" w14:textId="1FC21E2A" w:rsidR="002044BE" w:rsidRPr="002044BE" w:rsidRDefault="00D01256" w:rsidP="00D01256">
      <w:pPr>
        <w:spacing w:before="240" w:line="360" w:lineRule="auto"/>
        <w:jc w:val="both"/>
      </w:pPr>
      <w:r w:rsidRPr="00D01256">
        <w:t>MOF Olkusza cechuje się silnymi powiązaniami funkcjonalnymi z województwem śląskim oraz tradycjami górniczymi – do 2020 r. na terenie Gminy Bolesław i Gminy Olkusz działała Kopalnia Olkusz-Pomorzany, zajmująca się wydobyciem cynku i ołowiu. Tradycje te ks</w:t>
      </w:r>
      <w:r w:rsidR="0036331E">
        <w:t>ztałtowały lokalną tożsamość, a </w:t>
      </w:r>
      <w:r w:rsidRPr="00D01256">
        <w:t>obecnie stają się jednym z elementów sprzyjających rozwojowi turystyki na terenie obszaru. Z uwagi na bogate dziedzictwo kulturowe i walory przyrodnicze MOF Olkusza predysponowany jest do rozwoju turystyki różnego typu. Jedną z największych atrakcji obszaru jest Pu</w:t>
      </w:r>
      <w:r w:rsidR="0036331E">
        <w:t>stynia Błędowska – największy w </w:t>
      </w:r>
      <w:r w:rsidRPr="00D01256">
        <w:t>Europie Środkowej obszar piaszczysk i wydm śródlądowych, objęty 3 formami ochrony, w tym włączony do sieci Natura 2000.</w:t>
      </w:r>
    </w:p>
    <w:p w14:paraId="26538EDE" w14:textId="600301E8" w:rsidR="009F2E80" w:rsidRDefault="009B1037" w:rsidP="009F2E80">
      <w:pPr>
        <w:pStyle w:val="Nagwek2"/>
      </w:pPr>
      <w:bookmarkStart w:id="10" w:name="_Toc181691573"/>
      <w:r>
        <w:t xml:space="preserve">1.3 </w:t>
      </w:r>
      <w:r w:rsidR="009F2E80">
        <w:t>Analiza wzajemnych powiązań gospodarczych, społecznych i środowiskowych</w:t>
      </w:r>
      <w:bookmarkEnd w:id="10"/>
    </w:p>
    <w:p w14:paraId="44AC7083" w14:textId="761AF073" w:rsidR="00EB1DFD" w:rsidRDefault="00EB1DFD" w:rsidP="00EB1DFD">
      <w:pPr>
        <w:spacing w:after="0" w:line="360" w:lineRule="auto"/>
        <w:jc w:val="both"/>
      </w:pPr>
      <w:r>
        <w:t xml:space="preserve">Gminy wchodzące w skład obszaru funkcjonalnego Olkusza wyróżniają się powiązaniami funkcjonalnymi w sferze społeczno-gospodarczej i przestrzenno-środowiskowej. Powiązania te są zauważalne zarówno na poziomie poszczególnych gmin </w:t>
      </w:r>
      <w:r w:rsidRPr="00950DCE">
        <w:t xml:space="preserve">OF </w:t>
      </w:r>
      <w:r>
        <w:t xml:space="preserve">Olkusza, jak również na tle całego regionu. Poniżej wymieniono kluczowe czynniki, które wpływają na powiązania funkcjonalne w obrębie </w:t>
      </w:r>
      <w:r w:rsidRPr="00950DCE">
        <w:t xml:space="preserve">OF </w:t>
      </w:r>
      <w:r>
        <w:t>Olkusza.</w:t>
      </w:r>
    </w:p>
    <w:p w14:paraId="326750E1" w14:textId="51B17C85" w:rsidR="00B652D6" w:rsidRDefault="00EB1DFD" w:rsidP="009A0BA3">
      <w:pPr>
        <w:pStyle w:val="Akapitzlist"/>
        <w:numPr>
          <w:ilvl w:val="0"/>
          <w:numId w:val="4"/>
        </w:numPr>
        <w:spacing w:line="360" w:lineRule="auto"/>
        <w:jc w:val="both"/>
      </w:pPr>
      <w:r>
        <w:t>Wszystkie trzy gminy leżą w województwie małopolskim, w powiecie olkuskim</w:t>
      </w:r>
      <w:r w:rsidR="007A49B7">
        <w:t>.</w:t>
      </w:r>
      <w:r w:rsidR="002D2714">
        <w:t xml:space="preserve"> </w:t>
      </w:r>
      <w:r w:rsidR="00CE7028">
        <w:t xml:space="preserve">Położenie </w:t>
      </w:r>
      <w:r w:rsidR="00B652D6">
        <w:t xml:space="preserve">OF Olkusza między dwiema </w:t>
      </w:r>
      <w:r w:rsidR="00153A44">
        <w:t xml:space="preserve">dużymi </w:t>
      </w:r>
      <w:r w:rsidR="00B652D6">
        <w:t xml:space="preserve">aglomeracjami – Górnośląsko-Zagłębiowską Metropolią </w:t>
      </w:r>
      <w:r w:rsidR="002D1CF6">
        <w:t xml:space="preserve">(GZM) </w:t>
      </w:r>
      <w:r w:rsidR="00B652D6">
        <w:t>oraz Aglomeracją Krakowską</w:t>
      </w:r>
      <w:r w:rsidR="00CE7028">
        <w:t xml:space="preserve"> determinuje wysoką dostępność szerokiego</w:t>
      </w:r>
      <w:r w:rsidR="00CE7028" w:rsidRPr="00CE7028">
        <w:t xml:space="preserve"> rynku pracy, rynku zbytu oraz </w:t>
      </w:r>
      <w:r w:rsidR="00CE7028">
        <w:t>zróżnicowanych usług, w tym usług wyższego rzędu.</w:t>
      </w:r>
    </w:p>
    <w:p w14:paraId="33E47AA1" w14:textId="67AB6B6D" w:rsidR="002F60D9" w:rsidRDefault="002F60D9" w:rsidP="002F60D9">
      <w:pPr>
        <w:pStyle w:val="Akapitzlist"/>
        <w:numPr>
          <w:ilvl w:val="0"/>
          <w:numId w:val="4"/>
        </w:numPr>
        <w:spacing w:before="240" w:line="360" w:lineRule="auto"/>
        <w:jc w:val="both"/>
      </w:pPr>
      <w:r>
        <w:t>W Planie Zagospodarowania Przestrzennego Województwa Małopolskiego zdefiniowano Olkusz jako ośrodek lokalny (ośrodek powiatowy drugie</w:t>
      </w:r>
      <w:r w:rsidR="00A22821">
        <w:t>go rzędu). Olkusz jest jednym z </w:t>
      </w:r>
      <w:r>
        <w:t xml:space="preserve">głównych ośrodków miejskich regionu, pełni ważne </w:t>
      </w:r>
      <w:r w:rsidRPr="00341062">
        <w:t>ponadlokalne funkcje administracyjne, usługowe i handlowe dla sąsiadujących gmin</w:t>
      </w:r>
      <w:r>
        <w:t xml:space="preserve"> powiatu olkuskiego. Pozostałe gminy OF</w:t>
      </w:r>
      <w:r w:rsidR="0036331E">
        <w:t> </w:t>
      </w:r>
      <w:r>
        <w:t xml:space="preserve">klasyfikowane są na poziomie czwartym hierarchii ośrodków usługowych, do których należą </w:t>
      </w:r>
      <w:r w:rsidRPr="00B843B7">
        <w:t>wsie będące siedzibami rad gmin</w:t>
      </w:r>
      <w:r>
        <w:t>.</w:t>
      </w:r>
    </w:p>
    <w:p w14:paraId="5F4149EE" w14:textId="77777777" w:rsidR="002F60D9" w:rsidRDefault="002F60D9" w:rsidP="002F60D9">
      <w:pPr>
        <w:pStyle w:val="Akapitzlist"/>
        <w:numPr>
          <w:ilvl w:val="0"/>
          <w:numId w:val="4"/>
        </w:numPr>
        <w:spacing w:before="240" w:line="360" w:lineRule="auto"/>
        <w:jc w:val="both"/>
      </w:pPr>
      <w:r>
        <w:t>Gminy: Olkusz, Bolesław i Klucze leżą w obszarze funkcjonalnym Klin rozwojowy. Jest to ta część województwa małopolskiego, która posiada bogate tradycje przemysłowe, jest silnie zurbanizowana i uznawana za zamożniejszą od pozostałych obszarów województwa.</w:t>
      </w:r>
    </w:p>
    <w:p w14:paraId="61543517" w14:textId="44CC6425" w:rsidR="00193574" w:rsidRPr="000C08DA" w:rsidRDefault="002F60D9" w:rsidP="008232A9">
      <w:pPr>
        <w:pStyle w:val="Akapitzlist"/>
        <w:numPr>
          <w:ilvl w:val="0"/>
          <w:numId w:val="4"/>
        </w:numPr>
        <w:spacing w:before="240" w:line="360" w:lineRule="auto"/>
        <w:jc w:val="both"/>
      </w:pPr>
      <w:r>
        <w:t xml:space="preserve">Analizowane gminy w ramach Strategii Rozwoju Województwa „Małopolska 2030” zostały objęte Obszarem Strategicznej Interwencji (OSI) </w:t>
      </w:r>
      <w:r w:rsidRPr="000324A7">
        <w:t>Obsza</w:t>
      </w:r>
      <w:r w:rsidR="0036331E">
        <w:t>r transformacji energetycznej – </w:t>
      </w:r>
      <w:r w:rsidRPr="000324A7">
        <w:t>Małopolska Zachodnia</w:t>
      </w:r>
      <w:r>
        <w:t xml:space="preserve"> (podregion oświęcimski).</w:t>
      </w:r>
      <w:r w:rsidRPr="000324A7">
        <w:t xml:space="preserve"> </w:t>
      </w:r>
      <w:r>
        <w:t xml:space="preserve">Podregion ten jest zwartym obszarem, obejmującym swoim zasięgiem 4 powiaty: chrzanowski, olkuski, oświęcimski i wadowicki, który ze względu na specyficzne cechy i dużą koncentrację ludności jest najbardziej zurbanizowaną </w:t>
      </w:r>
      <w:r w:rsidRPr="000C08DA">
        <w:t>częścią województwa.</w:t>
      </w:r>
    </w:p>
    <w:p w14:paraId="63EC7388" w14:textId="77E906E2" w:rsidR="008232A9" w:rsidRPr="001564AD" w:rsidRDefault="008232A9" w:rsidP="008232A9">
      <w:pPr>
        <w:pStyle w:val="Akapitzlist"/>
        <w:numPr>
          <w:ilvl w:val="0"/>
          <w:numId w:val="4"/>
        </w:numPr>
        <w:spacing w:before="240" w:line="360" w:lineRule="auto"/>
        <w:jc w:val="both"/>
      </w:pPr>
      <w:r w:rsidRPr="000C08DA">
        <w:t xml:space="preserve">Wśród uwarunkowań określających powiązania funkcjonalne w </w:t>
      </w:r>
      <w:r w:rsidR="000C08DA" w:rsidRPr="000C08DA">
        <w:t>O</w:t>
      </w:r>
      <w:r w:rsidRPr="000C08DA">
        <w:t>F</w:t>
      </w:r>
      <w:r w:rsidR="000C08DA" w:rsidRPr="000C08DA">
        <w:t xml:space="preserve"> Olkusza</w:t>
      </w:r>
      <w:r w:rsidRPr="000C08DA">
        <w:t xml:space="preserve"> znajdują się również przepływy osób, przede wszystkim związane z migracjami na pobyt stały oraz dojazdami do pracy lub szkół. Tendencje te warunkuje</w:t>
      </w:r>
      <w:r w:rsidR="000C08DA" w:rsidRPr="000C08DA">
        <w:t xml:space="preserve"> m.in. zjawisko suburbanizacji, czyli</w:t>
      </w:r>
      <w:r w:rsidRPr="000C08DA">
        <w:t xml:space="preserve"> </w:t>
      </w:r>
      <w:r w:rsidRPr="001564AD">
        <w:t>migracje ludno</w:t>
      </w:r>
      <w:r w:rsidR="000C08DA" w:rsidRPr="001564AD">
        <w:t>ści z miast na obszary wiejskie.</w:t>
      </w:r>
      <w:r w:rsidR="00490842" w:rsidRPr="001564AD">
        <w:t xml:space="preserve"> Wskaźnik zameldowań z </w:t>
      </w:r>
      <w:r w:rsidR="00A22821">
        <w:t>rdzenia OF (Olkusza) w </w:t>
      </w:r>
      <w:r w:rsidR="00490842" w:rsidRPr="001564AD">
        <w:t xml:space="preserve">przeliczeniu na 1000 mieszkańców w 2023 r. wyniosła 4,1 dla gminy Bolesław i 1,9 dla Gminy Klucze. </w:t>
      </w:r>
    </w:p>
    <w:p w14:paraId="577B0A74" w14:textId="6C8B37EB" w:rsidR="008232A9" w:rsidRPr="00EA6542" w:rsidRDefault="008232A9" w:rsidP="008232A9">
      <w:pPr>
        <w:pStyle w:val="Akapitzlist"/>
        <w:numPr>
          <w:ilvl w:val="0"/>
          <w:numId w:val="4"/>
        </w:numPr>
        <w:spacing w:before="240" w:line="360" w:lineRule="auto"/>
        <w:jc w:val="both"/>
      </w:pPr>
      <w:r w:rsidRPr="00EA6542">
        <w:t xml:space="preserve">Powiązania w obrębie OF widoczne są również w zakresie przepływów pracowniczych. </w:t>
      </w:r>
      <w:r w:rsidR="00BA1E9D" w:rsidRPr="00EA6542">
        <w:t>W 2021 r. liczba wyjeżdżających do pracy do rdzenia OF w przeliczeniu na 1000 mieszkańców wyniosła 89,98 w Gminie Bolesław oraz 126,07 w Gminie Klucze.</w:t>
      </w:r>
      <w:r w:rsidR="007B75E9" w:rsidRPr="00EA6542">
        <w:t xml:space="preserve"> W obu przypadkach wartości wskaźnika wzrosły w porównaniu do 2016 r.</w:t>
      </w:r>
      <w:r w:rsidR="00686D87" w:rsidRPr="00EA6542">
        <w:t xml:space="preserve"> niemal dwukrotnie.</w:t>
      </w:r>
    </w:p>
    <w:p w14:paraId="230E712B" w14:textId="3DD2D41E" w:rsidR="008232A9" w:rsidRPr="00916A49" w:rsidRDefault="008232A9" w:rsidP="005234DF">
      <w:pPr>
        <w:pStyle w:val="Akapitzlist"/>
        <w:numPr>
          <w:ilvl w:val="0"/>
          <w:numId w:val="4"/>
        </w:numPr>
        <w:spacing w:before="240" w:line="360" w:lineRule="auto"/>
        <w:jc w:val="both"/>
      </w:pPr>
      <w:r w:rsidRPr="00EA6542">
        <w:t>Poza przepływami pracowniczymi, powiązania funkcjonalne w OF Olkusza charakteryzuje dostępność podstawowych usług publicznych. Wszystkie gminy Obszaru gwarantują dostęp do podstawowych usług, przy czym wyłącznie Olkusz oferuje usługi związane z</w:t>
      </w:r>
      <w:r w:rsidR="001F53EB" w:rsidRPr="00EA6542">
        <w:t>e specjalistyczną</w:t>
      </w:r>
      <w:r w:rsidRPr="00EA6542">
        <w:t xml:space="preserve"> opieką zdrowotną, czy edukacją ponadpodstawową.</w:t>
      </w:r>
      <w:r w:rsidR="005234DF" w:rsidRPr="00EA6542">
        <w:t xml:space="preserve"> Ze względu na </w:t>
      </w:r>
      <w:r w:rsidR="00A22821">
        <w:t>widoczne różnice w </w:t>
      </w:r>
      <w:r w:rsidR="005234DF" w:rsidRPr="00EA6542">
        <w:t>poziomie zurbanizowania obszarów miejskich i wiejskich, mieszkańcy gmin wiejskich korzystają zatem często z oferty kulturalnej, oświatowej czy medycznej miast</w:t>
      </w:r>
      <w:r w:rsidR="001F53EB" w:rsidRPr="00EA6542">
        <w:t>a</w:t>
      </w:r>
      <w:r w:rsidR="005234DF" w:rsidRPr="00EA6542">
        <w:t xml:space="preserve">. Widoczne jest to m.in. w </w:t>
      </w:r>
      <w:r w:rsidR="005234DF" w:rsidRPr="00916A49">
        <w:t>przypadku dostępności szkół ponadp</w:t>
      </w:r>
      <w:r w:rsidR="001F53EB" w:rsidRPr="00916A49">
        <w:t xml:space="preserve">odstawowych, które na terenie OF zlokalizowane są jedynie w Olkuszu. </w:t>
      </w:r>
    </w:p>
    <w:p w14:paraId="28A5BB4D" w14:textId="54EAF90A" w:rsidR="008232A9" w:rsidRPr="00916A49" w:rsidRDefault="008232A9" w:rsidP="00046E04">
      <w:pPr>
        <w:pStyle w:val="Akapitzlist"/>
        <w:numPr>
          <w:ilvl w:val="0"/>
          <w:numId w:val="4"/>
        </w:numPr>
        <w:spacing w:before="240" w:line="360" w:lineRule="auto"/>
        <w:jc w:val="both"/>
      </w:pPr>
      <w:r w:rsidRPr="00916A49">
        <w:t xml:space="preserve">Jednym z elementów budujących obszar funkcjonalny jest również wspólne dziedzictwo historyczno-kulturowe i tożsamość lokalna. </w:t>
      </w:r>
      <w:r w:rsidR="002463DC" w:rsidRPr="00916A49">
        <w:t xml:space="preserve"> Ze względu na występujące w tym rejonie bogactwa naturalne, OF Olkusza jest jednym z najstarszych ośrodków górnictwa i hutnictwa rud cynku i ołowiu w kraju.</w:t>
      </w:r>
      <w:r w:rsidR="00046E04" w:rsidRPr="00916A49">
        <w:t xml:space="preserve"> Dziedzictwo przemysłowe, tradycje górnicze są nie tylko elementem kształtującym tożsamość lokalnej społeczności, ale również czynnikiem sprzyjającym rozwojowi funkcji turystycznych obszaru. </w:t>
      </w:r>
    </w:p>
    <w:p w14:paraId="5BAB74B0" w14:textId="742AE232" w:rsidR="00D7127C" w:rsidRDefault="00D7127C" w:rsidP="00CE7028">
      <w:pPr>
        <w:pStyle w:val="Akapitzlist"/>
        <w:numPr>
          <w:ilvl w:val="0"/>
          <w:numId w:val="4"/>
        </w:numPr>
        <w:spacing w:line="360" w:lineRule="auto"/>
        <w:jc w:val="both"/>
      </w:pPr>
      <w:r w:rsidRPr="00916A49">
        <w:t xml:space="preserve">OF Olkusza </w:t>
      </w:r>
      <w:r w:rsidR="001511BE" w:rsidRPr="00916A49">
        <w:t>cechują</w:t>
      </w:r>
      <w:r w:rsidR="001511BE">
        <w:t xml:space="preserve"> również powiązania przestrzenno-f</w:t>
      </w:r>
      <w:r w:rsidR="00A22821">
        <w:t>unkcjonalne, wynikające m.in. z </w:t>
      </w:r>
      <w:r w:rsidR="001511BE">
        <w:t>połączeń drogowych. Rdzeń OF, miasto Olkusz z gminą Bolesław łączy droga krajowa nr 94, natomiast z gminą Klucze – droga wojewódzka nr 791.</w:t>
      </w:r>
      <w:r w:rsidR="002D1CF6">
        <w:t xml:space="preserve"> Drogi te stanowią również o zewnętrznej dostępności komunikacyjnej całego OF, łącząc go z </w:t>
      </w:r>
      <w:r w:rsidR="00EC3CF8">
        <w:t>GZM czy</w:t>
      </w:r>
      <w:r w:rsidR="002D1CF6">
        <w:t xml:space="preserve"> Aglomeracją Krakowską.</w:t>
      </w:r>
    </w:p>
    <w:p w14:paraId="0E5B42FA" w14:textId="428CFC9A" w:rsidR="009A57DA" w:rsidRDefault="00193574" w:rsidP="00193574">
      <w:pPr>
        <w:pStyle w:val="Akapitzlist"/>
        <w:numPr>
          <w:ilvl w:val="0"/>
          <w:numId w:val="4"/>
        </w:numPr>
        <w:spacing w:before="240" w:line="360" w:lineRule="auto"/>
        <w:jc w:val="both"/>
      </w:pPr>
      <w:r w:rsidRPr="00193574">
        <w:t xml:space="preserve">W sferze środowiskowej, jednostki </w:t>
      </w:r>
      <w:r>
        <w:t>OF Olkusza</w:t>
      </w:r>
      <w:r w:rsidRPr="00193574">
        <w:t xml:space="preserve"> powiązane są przez uwarunkowania fizyczno-geograficzne. </w:t>
      </w:r>
      <w:r>
        <w:t>Obszar</w:t>
      </w:r>
      <w:r w:rsidR="009A57DA" w:rsidRPr="00950DCE">
        <w:t xml:space="preserve"> </w:t>
      </w:r>
      <w:r w:rsidR="009A57DA">
        <w:t>zlokalizowan</w:t>
      </w:r>
      <w:r>
        <w:t>y jest</w:t>
      </w:r>
      <w:r w:rsidR="009A57DA">
        <w:t xml:space="preserve"> w </w:t>
      </w:r>
      <w:r w:rsidR="009A57DA" w:rsidRPr="009A57DA">
        <w:t>obrębie trzech makroregionów geograficznych: Wyżyny Krakowsko-Częstochowskiej, Wyżyny Śląskiej i Wyżyny Miechowskiej.</w:t>
      </w:r>
    </w:p>
    <w:p w14:paraId="11A75CB2" w14:textId="2FA8CCA2" w:rsidR="000C1871" w:rsidRDefault="000C1871" w:rsidP="00713CED">
      <w:pPr>
        <w:pStyle w:val="Akapitzlist"/>
        <w:numPr>
          <w:ilvl w:val="0"/>
          <w:numId w:val="4"/>
        </w:numPr>
        <w:spacing w:before="240" w:line="360" w:lineRule="auto"/>
        <w:jc w:val="both"/>
      </w:pPr>
      <w:r>
        <w:t>W granicach obszaru funkcjonalnego Olkusza znajdują się tereny prawnie chronione takie jak parki krajobrazowe (</w:t>
      </w:r>
      <w:r w:rsidRPr="000C1871">
        <w:t>Park Krajobrazowy Dolinki Krakowskie</w:t>
      </w:r>
      <w:r>
        <w:t xml:space="preserve"> i </w:t>
      </w:r>
      <w:r w:rsidRPr="000C1871">
        <w:t>Park Krajobrazowy Orlich Gniazd</w:t>
      </w:r>
      <w:r>
        <w:t xml:space="preserve"> wraz z otuliną), specjalne obszar ochrony (Jaroszowiec, </w:t>
      </w:r>
      <w:r w:rsidRPr="000C1871">
        <w:t>Armeria</w:t>
      </w:r>
      <w:r>
        <w:t xml:space="preserve">, </w:t>
      </w:r>
      <w:r w:rsidRPr="000C1871">
        <w:t>Pleszczotka</w:t>
      </w:r>
      <w:r>
        <w:t xml:space="preserve">, </w:t>
      </w:r>
      <w:r w:rsidRPr="000C1871">
        <w:t>Pustynia Błędowska</w:t>
      </w:r>
      <w:r>
        <w:t xml:space="preserve">, </w:t>
      </w:r>
      <w:r w:rsidRPr="000C1871">
        <w:t>Ostoja Środkowojurajsk</w:t>
      </w:r>
      <w:r>
        <w:t>a) oraz użytki ekologiczne i rezerwaty przyrody.</w:t>
      </w:r>
      <w:r w:rsidR="00A51D62">
        <w:t xml:space="preserve"> Ze względu na wysokie walory przyrodniczo-krajobrazowe </w:t>
      </w:r>
      <w:r w:rsidR="0036331E">
        <w:t>i objęcie ich formami ochrony, g</w:t>
      </w:r>
      <w:r w:rsidR="00A51D62">
        <w:t>miny obszaru funkcjonalnego Olkusza wpisują się również w regionalne OSI Obszary cenne przyrodniczo.</w:t>
      </w:r>
    </w:p>
    <w:p w14:paraId="58C70A9F" w14:textId="77777777" w:rsidR="00A74723" w:rsidRDefault="00A74723">
      <w:pPr>
        <w:rPr>
          <w:rFonts w:ascii="Calibri" w:eastAsiaTheme="majorEastAsia" w:hAnsi="Calibri" w:cstheme="majorBidi"/>
          <w:color w:val="276E8B" w:themeColor="accent1" w:themeShade="BF"/>
          <w:sz w:val="26"/>
          <w:szCs w:val="26"/>
        </w:rPr>
      </w:pPr>
      <w:r>
        <w:br w:type="page"/>
      </w:r>
    </w:p>
    <w:p w14:paraId="6E9C922B" w14:textId="7331CE5F" w:rsidR="009F2E80" w:rsidRDefault="009B1037" w:rsidP="009F2E80">
      <w:pPr>
        <w:pStyle w:val="Nagwek2"/>
      </w:pPr>
      <w:bookmarkStart w:id="11" w:name="_Toc181691574"/>
      <w:r>
        <w:t xml:space="preserve">1.4 </w:t>
      </w:r>
      <w:r w:rsidR="009F2E80">
        <w:t>Analiza SWOT</w:t>
      </w:r>
      <w:bookmarkEnd w:id="11"/>
    </w:p>
    <w:p w14:paraId="7F01B92B" w14:textId="6B706A94" w:rsidR="004B2A61" w:rsidRDefault="004B2A61" w:rsidP="00A22821">
      <w:pPr>
        <w:spacing w:after="0" w:line="360" w:lineRule="auto"/>
        <w:jc w:val="both"/>
      </w:pPr>
      <w:r>
        <w:t>Analiza ogólnodostępnych danych statystycznych oraz informacji pozyskanych na drodze dyskusji dotyczących obecnej sytuacji gmin OF Olkusza pozwoliły na zidentyfikowanie kluczowych problemów i potencjałów obszaru funkcjonalnego. W celu usystematyzowania zebranych informacji, na bazie wypracowanych wniosków z diagnozy strategicznej przeprowadzono analizę SWOT. W jej ramach wyodrębniono:</w:t>
      </w:r>
    </w:p>
    <w:p w14:paraId="31EB6EC9" w14:textId="0ADC625E" w:rsidR="004B2A61" w:rsidRDefault="004B2A61" w:rsidP="004B2A61">
      <w:pPr>
        <w:pStyle w:val="Akapitzlist"/>
        <w:numPr>
          <w:ilvl w:val="0"/>
          <w:numId w:val="11"/>
        </w:numPr>
        <w:spacing w:line="360" w:lineRule="auto"/>
        <w:jc w:val="both"/>
      </w:pPr>
      <w:r w:rsidRPr="004B2A61">
        <w:t xml:space="preserve">mocne strony (pozytywne uwarunkowania wewnętrzne), a więc cechy, które wyróżniają </w:t>
      </w:r>
      <w:r>
        <w:t>OF</w:t>
      </w:r>
      <w:r w:rsidRPr="004B2A61">
        <w:t xml:space="preserve"> od innych, warunkują przewagę konkurencyjną i stanowią potencjał rozwojowy</w:t>
      </w:r>
      <w:r>
        <w:t xml:space="preserve"> obszaru,</w:t>
      </w:r>
    </w:p>
    <w:p w14:paraId="111B10A9" w14:textId="43B67455" w:rsidR="004B2A61" w:rsidRDefault="004B2A61" w:rsidP="004B2A61">
      <w:pPr>
        <w:pStyle w:val="Akapitzlist"/>
        <w:numPr>
          <w:ilvl w:val="0"/>
          <w:numId w:val="11"/>
        </w:numPr>
        <w:spacing w:line="360" w:lineRule="auto"/>
        <w:jc w:val="both"/>
      </w:pPr>
      <w:r w:rsidRPr="004B2A61">
        <w:t xml:space="preserve">słabe strony (negatywne uwarunkowania wewnętrzne), stanowiące konsekwencję organiczne szeroko rozumianych </w:t>
      </w:r>
      <w:r>
        <w:t>zasobów i hamujące rozwój obszaru funkcjonalnego,</w:t>
      </w:r>
    </w:p>
    <w:p w14:paraId="6D4F89BD" w14:textId="4999C5F5" w:rsidR="004B2A61" w:rsidRDefault="004B2A61" w:rsidP="004B2A61">
      <w:pPr>
        <w:pStyle w:val="Akapitzlist"/>
        <w:numPr>
          <w:ilvl w:val="0"/>
          <w:numId w:val="11"/>
        </w:numPr>
        <w:spacing w:line="360" w:lineRule="auto"/>
        <w:jc w:val="both"/>
      </w:pPr>
      <w:r w:rsidRPr="004B2A61">
        <w:t>szanse, korzystne tendencje w otoczeniu zewnętrznym</w:t>
      </w:r>
      <w:r>
        <w:t xml:space="preserve"> obszaru funkcjonalnego</w:t>
      </w:r>
      <w:r w:rsidRPr="004B2A61">
        <w:t>, które właściwie wykorzystane mogą stanowić istotny impuls rozwojowy</w:t>
      </w:r>
      <w:r>
        <w:t>,</w:t>
      </w:r>
    </w:p>
    <w:p w14:paraId="6FB1530D" w14:textId="2B4C231E" w:rsidR="004B2A61" w:rsidRDefault="004B2A61" w:rsidP="004B2A61">
      <w:pPr>
        <w:pStyle w:val="Akapitzlist"/>
        <w:numPr>
          <w:ilvl w:val="0"/>
          <w:numId w:val="11"/>
        </w:numPr>
        <w:spacing w:line="360" w:lineRule="auto"/>
        <w:jc w:val="both"/>
      </w:pPr>
      <w:r w:rsidRPr="004B2A61">
        <w:t xml:space="preserve">zagrożenia (negatywne czynniki zewnętrzne), niekorzystne zjawiska, które mogą być poważną barierą rozwoju dla </w:t>
      </w:r>
      <w:r>
        <w:t>obszaru funkcjonalnego</w:t>
      </w:r>
      <w:r w:rsidRPr="004B2A61">
        <w:t>, potencjalnie ograniczające możliwość wykorzystania pojawiających się szans rozwojowych</w:t>
      </w:r>
      <w:r>
        <w:t>.</w:t>
      </w:r>
    </w:p>
    <w:p w14:paraId="52B5B0B7" w14:textId="264B6EF2" w:rsidR="004B2A61" w:rsidRDefault="00CD0DD4" w:rsidP="004B2A61">
      <w:pPr>
        <w:spacing w:line="360" w:lineRule="auto"/>
        <w:jc w:val="both"/>
      </w:pPr>
      <w:r>
        <w:t xml:space="preserve">Poniższe zestawienie </w:t>
      </w:r>
      <w:r w:rsidR="004B2A61" w:rsidRPr="004B2A61">
        <w:t>stanowi syntezę wyników diagnozy przeprowadzonej na potrzeby Strategii IIT.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82"/>
      </w:tblGrid>
      <w:tr w:rsidR="00A22821" w:rsidRPr="00AD51FB" w14:paraId="2E36A897" w14:textId="77777777" w:rsidTr="00A22821">
        <w:tc>
          <w:tcPr>
            <w:tcW w:w="1980" w:type="dxa"/>
            <w:shd w:val="clear" w:color="auto" w:fill="58B6C0" w:themeFill="accent2"/>
          </w:tcPr>
          <w:p w14:paraId="561E16F9" w14:textId="512F478D" w:rsidR="00A22821" w:rsidRPr="00AD51FB" w:rsidRDefault="00A22821" w:rsidP="00A22821">
            <w:pPr>
              <w:spacing w:before="120" w:after="120"/>
              <w:jc w:val="both"/>
              <w:rPr>
                <w:rFonts w:cstheme="minorHAnsi"/>
                <w:b/>
                <w:color w:val="FFFFFF" w:themeColor="background1"/>
              </w:rPr>
            </w:pPr>
            <w:r w:rsidRPr="00A22821">
              <w:rPr>
                <w:rFonts w:cstheme="minorHAnsi"/>
                <w:b/>
                <w:color w:val="FFFFFF" w:themeColor="background1"/>
              </w:rPr>
              <w:t>Mocne strony</w:t>
            </w:r>
          </w:p>
        </w:tc>
        <w:tc>
          <w:tcPr>
            <w:tcW w:w="7082" w:type="dxa"/>
          </w:tcPr>
          <w:p w14:paraId="5B643449" w14:textId="77777777" w:rsidR="00A22821" w:rsidRPr="00AD51FB" w:rsidRDefault="00A22821" w:rsidP="00A22821">
            <w:pPr>
              <w:spacing w:before="120" w:after="120"/>
              <w:jc w:val="both"/>
              <w:rPr>
                <w:rFonts w:cstheme="minorHAnsi"/>
                <w:b/>
                <w:color w:val="FFFFFF" w:themeColor="background1"/>
              </w:rPr>
            </w:pPr>
          </w:p>
        </w:tc>
      </w:tr>
      <w:tr w:rsidR="00A22821" w14:paraId="34F38587" w14:textId="77777777" w:rsidTr="00A22821">
        <w:tc>
          <w:tcPr>
            <w:tcW w:w="9062" w:type="dxa"/>
            <w:gridSpan w:val="2"/>
            <w:shd w:val="clear" w:color="auto" w:fill="DDF0F2" w:themeFill="accent2" w:themeFillTint="33"/>
          </w:tcPr>
          <w:p w14:paraId="472B2F55" w14:textId="77777777" w:rsidR="00A22821" w:rsidRPr="00A22821" w:rsidRDefault="00A22821" w:rsidP="00A22821">
            <w:pPr>
              <w:pStyle w:val="Akapitzlist"/>
              <w:numPr>
                <w:ilvl w:val="0"/>
                <w:numId w:val="12"/>
              </w:numPr>
              <w:spacing w:before="120" w:after="120"/>
              <w:ind w:left="714" w:hanging="357"/>
              <w:contextualSpacing w:val="0"/>
              <w:rPr>
                <w:rFonts w:cstheme="minorHAnsi"/>
              </w:rPr>
            </w:pPr>
            <w:r w:rsidRPr="00A22821">
              <w:rPr>
                <w:rFonts w:cstheme="minorHAnsi"/>
              </w:rPr>
              <w:t>Atrakcyjne położenie geograficzne – pomiędzy dwoma dużymi ośrodkami miejskimi (Krakowem a Katowicami)</w:t>
            </w:r>
          </w:p>
          <w:p w14:paraId="5EC3B63B" w14:textId="77777777" w:rsidR="00A22821" w:rsidRPr="00A22821" w:rsidRDefault="00A22821" w:rsidP="00A22821">
            <w:pPr>
              <w:pStyle w:val="Akapitzlist"/>
              <w:numPr>
                <w:ilvl w:val="0"/>
                <w:numId w:val="12"/>
              </w:numPr>
              <w:spacing w:before="120" w:after="120"/>
              <w:ind w:left="714" w:hanging="357"/>
              <w:contextualSpacing w:val="0"/>
              <w:rPr>
                <w:rFonts w:cstheme="minorHAnsi"/>
              </w:rPr>
            </w:pPr>
            <w:r w:rsidRPr="00A22821">
              <w:rPr>
                <w:rFonts w:cstheme="minorHAnsi"/>
              </w:rPr>
              <w:t>Dobra dostępność komunikacyjna – przebieg drogi krajowej nr 94, bliskość autostrady A4, obecność linii kolejowej nr 62</w:t>
            </w:r>
          </w:p>
          <w:p w14:paraId="1532D3EC" w14:textId="77777777" w:rsidR="00A22821" w:rsidRPr="00A22821" w:rsidRDefault="00A22821" w:rsidP="00A22821">
            <w:pPr>
              <w:pStyle w:val="Akapitzlist"/>
              <w:numPr>
                <w:ilvl w:val="0"/>
                <w:numId w:val="12"/>
              </w:numPr>
              <w:spacing w:before="120" w:after="120"/>
              <w:ind w:left="714" w:hanging="357"/>
              <w:contextualSpacing w:val="0"/>
              <w:rPr>
                <w:rFonts w:cstheme="minorHAnsi"/>
              </w:rPr>
            </w:pPr>
            <w:r w:rsidRPr="00A22821">
              <w:rPr>
                <w:rFonts w:cstheme="minorHAnsi"/>
              </w:rPr>
              <w:t>Bogate dziedzictwo historyczno-kulturowe – Olkusz należy do najstarszych miast w Polsce, na terenie OF Olkusza zachowało się wiele obiektów zabytkowych, ponadto obszar od wieków był związany z górnictwem</w:t>
            </w:r>
          </w:p>
          <w:p w14:paraId="59F8BA15" w14:textId="77777777" w:rsidR="00A22821" w:rsidRPr="00A22821" w:rsidRDefault="00A22821" w:rsidP="00A22821">
            <w:pPr>
              <w:pStyle w:val="Akapitzlist"/>
              <w:numPr>
                <w:ilvl w:val="0"/>
                <w:numId w:val="12"/>
              </w:numPr>
              <w:spacing w:before="120" w:after="120"/>
              <w:ind w:left="714" w:hanging="357"/>
              <w:contextualSpacing w:val="0"/>
              <w:rPr>
                <w:rFonts w:cstheme="minorHAnsi"/>
              </w:rPr>
            </w:pPr>
            <w:r w:rsidRPr="00A22821">
              <w:rPr>
                <w:rFonts w:cstheme="minorHAnsi"/>
              </w:rPr>
              <w:t>Walory przyrodniczo-krajobrazowe – położenie w pobliżu obszarów cennych przyrodniczo, w tym Pustyni Błędowskiej stanowiącej fenomen przyrodniczy</w:t>
            </w:r>
          </w:p>
          <w:p w14:paraId="36079E0F" w14:textId="77777777" w:rsidR="00A22821" w:rsidRPr="00A22821" w:rsidRDefault="00A22821" w:rsidP="00A22821">
            <w:pPr>
              <w:pStyle w:val="Akapitzlist"/>
              <w:numPr>
                <w:ilvl w:val="0"/>
                <w:numId w:val="12"/>
              </w:numPr>
              <w:spacing w:before="120" w:after="120"/>
              <w:ind w:left="714" w:hanging="357"/>
              <w:contextualSpacing w:val="0"/>
              <w:rPr>
                <w:rFonts w:cstheme="minorHAnsi"/>
              </w:rPr>
            </w:pPr>
            <w:r w:rsidRPr="00A22821">
              <w:rPr>
                <w:rFonts w:cstheme="minorHAnsi"/>
              </w:rPr>
              <w:t>Istnienie strefy inwestycyjnej – Olkuska Strefa Aktywności Gospodarczej</w:t>
            </w:r>
          </w:p>
          <w:p w14:paraId="5D47648A" w14:textId="77777777" w:rsidR="00A22821" w:rsidRPr="00A22821" w:rsidRDefault="00A22821" w:rsidP="00A22821">
            <w:pPr>
              <w:pStyle w:val="Akapitzlist"/>
              <w:numPr>
                <w:ilvl w:val="0"/>
                <w:numId w:val="12"/>
              </w:numPr>
              <w:spacing w:before="120" w:after="120"/>
              <w:ind w:left="714" w:hanging="357"/>
              <w:contextualSpacing w:val="0"/>
              <w:rPr>
                <w:rFonts w:cstheme="minorHAnsi"/>
              </w:rPr>
            </w:pPr>
            <w:r w:rsidRPr="00A22821">
              <w:rPr>
                <w:rFonts w:cstheme="minorHAnsi"/>
              </w:rPr>
              <w:t>Atrakcyjność turystyczna – wynikająca z walorów środowiskowych, dziedzictwa kulturowego i tradycji górniczych</w:t>
            </w:r>
          </w:p>
          <w:p w14:paraId="16E8D9BA" w14:textId="77777777" w:rsidR="00A22821" w:rsidRPr="00A22821" w:rsidRDefault="00A22821" w:rsidP="00A22821">
            <w:pPr>
              <w:pStyle w:val="Akapitzlist"/>
              <w:numPr>
                <w:ilvl w:val="0"/>
                <w:numId w:val="12"/>
              </w:numPr>
              <w:spacing w:before="120" w:after="120"/>
              <w:ind w:left="714" w:hanging="357"/>
              <w:contextualSpacing w:val="0"/>
              <w:rPr>
                <w:rFonts w:cstheme="minorHAnsi"/>
              </w:rPr>
            </w:pPr>
            <w:r w:rsidRPr="00A22821">
              <w:rPr>
                <w:rFonts w:cstheme="minorHAnsi"/>
              </w:rPr>
              <w:t>Rozwinięta sieć placówek opiekuńczo-wychowawczych i edukacyjnych – w tym stosunkowo wysoki odsetek dzieci objętych opieką żłobkową i przedszkolną</w:t>
            </w:r>
          </w:p>
          <w:p w14:paraId="01EE7B0E" w14:textId="4DF3142F" w:rsidR="00A22821" w:rsidRPr="00A22821" w:rsidRDefault="00A22821" w:rsidP="00A22821">
            <w:pPr>
              <w:pStyle w:val="Akapitzlist"/>
              <w:numPr>
                <w:ilvl w:val="0"/>
                <w:numId w:val="12"/>
              </w:numPr>
              <w:spacing w:before="120" w:after="120"/>
              <w:ind w:left="714" w:hanging="357"/>
              <w:contextualSpacing w:val="0"/>
              <w:rPr>
                <w:rFonts w:cstheme="minorHAnsi"/>
              </w:rPr>
            </w:pPr>
            <w:r w:rsidRPr="00A22821">
              <w:rPr>
                <w:rFonts w:cstheme="minorHAnsi"/>
              </w:rPr>
              <w:t>Baza sportowo-rekreacyjna – (m.in. Park Rekreacyj</w:t>
            </w:r>
            <w:r w:rsidR="0036331E">
              <w:rPr>
                <w:rFonts w:cstheme="minorHAnsi"/>
              </w:rPr>
              <w:t>no-Krajobrazowy "Silver Park" w </w:t>
            </w:r>
            <w:r w:rsidRPr="00A22821">
              <w:rPr>
                <w:rFonts w:cstheme="minorHAnsi"/>
              </w:rPr>
              <w:t>Olkuszu) sprzyjająca rozwojowi turystyki</w:t>
            </w:r>
          </w:p>
        </w:tc>
      </w:tr>
    </w:tbl>
    <w:p w14:paraId="0F7DB5F4" w14:textId="77777777" w:rsidR="00A22821" w:rsidRDefault="00A22821" w:rsidP="004B2A61">
      <w:pPr>
        <w:spacing w:line="360" w:lineRule="auto"/>
        <w:jc w:val="both"/>
      </w:pPr>
    </w:p>
    <w:p w14:paraId="64B9F9F3" w14:textId="77777777" w:rsidR="00A22821" w:rsidRDefault="00A22821" w:rsidP="004B2A61">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82"/>
      </w:tblGrid>
      <w:tr w:rsidR="00A22821" w:rsidRPr="00AD51FB" w14:paraId="60B5B26B" w14:textId="77777777" w:rsidTr="00A22821">
        <w:tc>
          <w:tcPr>
            <w:tcW w:w="1980" w:type="dxa"/>
            <w:shd w:val="clear" w:color="auto" w:fill="7A8C8E" w:themeFill="accent4"/>
          </w:tcPr>
          <w:p w14:paraId="3140580A" w14:textId="56259C47" w:rsidR="00A22821" w:rsidRPr="00AD51FB" w:rsidRDefault="00A22821" w:rsidP="00A22821">
            <w:pPr>
              <w:spacing w:before="120" w:after="120"/>
              <w:jc w:val="both"/>
              <w:rPr>
                <w:rFonts w:cstheme="minorHAnsi"/>
                <w:b/>
                <w:color w:val="FFFFFF" w:themeColor="background1"/>
              </w:rPr>
            </w:pPr>
            <w:r>
              <w:rPr>
                <w:rFonts w:cstheme="minorHAnsi"/>
                <w:b/>
                <w:color w:val="FFFFFF" w:themeColor="background1"/>
              </w:rPr>
              <w:t xml:space="preserve">Słabe </w:t>
            </w:r>
            <w:r w:rsidRPr="00A22821">
              <w:rPr>
                <w:rFonts w:cstheme="minorHAnsi"/>
                <w:b/>
                <w:color w:val="FFFFFF" w:themeColor="background1"/>
              </w:rPr>
              <w:t>strony</w:t>
            </w:r>
          </w:p>
        </w:tc>
        <w:tc>
          <w:tcPr>
            <w:tcW w:w="7082" w:type="dxa"/>
          </w:tcPr>
          <w:p w14:paraId="0C7E34A1" w14:textId="77777777" w:rsidR="00A22821" w:rsidRPr="00AD51FB" w:rsidRDefault="00A22821" w:rsidP="00A22821">
            <w:pPr>
              <w:spacing w:before="120" w:after="120"/>
              <w:jc w:val="both"/>
              <w:rPr>
                <w:rFonts w:cstheme="minorHAnsi"/>
                <w:b/>
                <w:color w:val="FFFFFF" w:themeColor="background1"/>
              </w:rPr>
            </w:pPr>
          </w:p>
        </w:tc>
      </w:tr>
      <w:tr w:rsidR="00A22821" w14:paraId="55088C78" w14:textId="77777777" w:rsidTr="00A22821">
        <w:tc>
          <w:tcPr>
            <w:tcW w:w="9062" w:type="dxa"/>
            <w:gridSpan w:val="2"/>
            <w:shd w:val="clear" w:color="auto" w:fill="E4E7E8" w:themeFill="accent4" w:themeFillTint="33"/>
          </w:tcPr>
          <w:p w14:paraId="27B1CF92" w14:textId="77777777" w:rsidR="00A22821" w:rsidRPr="00A22821" w:rsidRDefault="00A22821" w:rsidP="00A22821">
            <w:pPr>
              <w:pStyle w:val="Akapitzlist"/>
              <w:numPr>
                <w:ilvl w:val="0"/>
                <w:numId w:val="12"/>
              </w:numPr>
              <w:spacing w:before="120" w:after="120"/>
              <w:ind w:left="714" w:hanging="357"/>
              <w:contextualSpacing w:val="0"/>
              <w:rPr>
                <w:rFonts w:cstheme="minorHAnsi"/>
              </w:rPr>
            </w:pPr>
            <w:r w:rsidRPr="00A22821">
              <w:rPr>
                <w:rFonts w:cstheme="minorHAnsi"/>
              </w:rPr>
              <w:t>Malejąca liczba mieszkańców we wszystkich gminach OF Olkusza, a tym samym spadek liczby zasobów ludzkich</w:t>
            </w:r>
          </w:p>
          <w:p w14:paraId="6B74E08A" w14:textId="77777777" w:rsidR="00A22821" w:rsidRPr="00A22821" w:rsidRDefault="00A22821" w:rsidP="00A22821">
            <w:pPr>
              <w:pStyle w:val="Akapitzlist"/>
              <w:numPr>
                <w:ilvl w:val="0"/>
                <w:numId w:val="12"/>
              </w:numPr>
              <w:spacing w:before="120" w:after="120"/>
              <w:ind w:left="714" w:hanging="357"/>
              <w:contextualSpacing w:val="0"/>
              <w:rPr>
                <w:rFonts w:cstheme="minorHAnsi"/>
              </w:rPr>
            </w:pPr>
            <w:r w:rsidRPr="00A22821">
              <w:rPr>
                <w:rFonts w:cstheme="minorHAnsi"/>
              </w:rPr>
              <w:t xml:space="preserve">Utrzymujący się ujemny przyrost naturalny i saldo migracji </w:t>
            </w:r>
          </w:p>
          <w:p w14:paraId="7DD6F96D" w14:textId="77777777" w:rsidR="00A22821" w:rsidRPr="00A22821" w:rsidRDefault="00A22821" w:rsidP="00A22821">
            <w:pPr>
              <w:pStyle w:val="Akapitzlist"/>
              <w:numPr>
                <w:ilvl w:val="0"/>
                <w:numId w:val="12"/>
              </w:numPr>
              <w:spacing w:before="120" w:after="120"/>
              <w:ind w:left="714" w:hanging="357"/>
              <w:contextualSpacing w:val="0"/>
              <w:rPr>
                <w:rFonts w:cstheme="minorHAnsi"/>
              </w:rPr>
            </w:pPr>
            <w:r w:rsidRPr="00A22821">
              <w:rPr>
                <w:rFonts w:cstheme="minorHAnsi"/>
              </w:rPr>
              <w:t>Starzenie się lokalnej społeczności</w:t>
            </w:r>
          </w:p>
          <w:p w14:paraId="3B2BCEFF" w14:textId="77777777" w:rsidR="00A22821" w:rsidRPr="00A22821" w:rsidRDefault="00A22821" w:rsidP="00A22821">
            <w:pPr>
              <w:pStyle w:val="Akapitzlist"/>
              <w:numPr>
                <w:ilvl w:val="0"/>
                <w:numId w:val="12"/>
              </w:numPr>
              <w:spacing w:before="120" w:after="120"/>
              <w:ind w:left="714" w:hanging="357"/>
              <w:contextualSpacing w:val="0"/>
              <w:rPr>
                <w:rFonts w:cstheme="minorHAnsi"/>
              </w:rPr>
            </w:pPr>
            <w:r w:rsidRPr="00A22821">
              <w:rPr>
                <w:rFonts w:cstheme="minorHAnsi"/>
              </w:rPr>
              <w:t>Niedostateczne wykorzystanie potencjału turystycznego</w:t>
            </w:r>
          </w:p>
          <w:p w14:paraId="1AB0E4FB" w14:textId="77777777" w:rsidR="00A22821" w:rsidRPr="00A22821" w:rsidRDefault="00A22821" w:rsidP="00A22821">
            <w:pPr>
              <w:pStyle w:val="Akapitzlist"/>
              <w:numPr>
                <w:ilvl w:val="0"/>
                <w:numId w:val="12"/>
              </w:numPr>
              <w:spacing w:before="120" w:after="120"/>
              <w:ind w:left="714" w:hanging="357"/>
              <w:contextualSpacing w:val="0"/>
              <w:rPr>
                <w:rFonts w:cstheme="minorHAnsi"/>
              </w:rPr>
            </w:pPr>
            <w:r w:rsidRPr="00A22821">
              <w:rPr>
                <w:rFonts w:cstheme="minorHAnsi"/>
              </w:rPr>
              <w:t>Niewystarczająco rozwinięta oferta kulturalno-rozrywkowa</w:t>
            </w:r>
          </w:p>
          <w:p w14:paraId="0F4D2A95" w14:textId="77777777" w:rsidR="00A22821" w:rsidRPr="00A22821" w:rsidRDefault="00A22821" w:rsidP="00A22821">
            <w:pPr>
              <w:pStyle w:val="Akapitzlist"/>
              <w:numPr>
                <w:ilvl w:val="0"/>
                <w:numId w:val="12"/>
              </w:numPr>
              <w:spacing w:before="120" w:after="120"/>
              <w:ind w:left="714" w:hanging="357"/>
              <w:contextualSpacing w:val="0"/>
              <w:rPr>
                <w:rFonts w:cstheme="minorHAnsi"/>
              </w:rPr>
            </w:pPr>
            <w:r w:rsidRPr="00A22821">
              <w:rPr>
                <w:rFonts w:cstheme="minorHAnsi"/>
              </w:rPr>
              <w:t>Deficyty w zakresie transportu zbiorowego</w:t>
            </w:r>
          </w:p>
          <w:p w14:paraId="0513B171" w14:textId="77777777" w:rsidR="00A22821" w:rsidRDefault="00A22821" w:rsidP="00A22821">
            <w:pPr>
              <w:pStyle w:val="Akapitzlist"/>
              <w:numPr>
                <w:ilvl w:val="0"/>
                <w:numId w:val="12"/>
              </w:numPr>
              <w:spacing w:before="120" w:after="120"/>
              <w:ind w:left="714" w:hanging="357"/>
              <w:contextualSpacing w:val="0"/>
              <w:rPr>
                <w:rFonts w:cstheme="minorHAnsi"/>
              </w:rPr>
            </w:pPr>
            <w:r w:rsidRPr="00A22821">
              <w:rPr>
                <w:rFonts w:cstheme="minorHAnsi"/>
              </w:rPr>
              <w:t>Ograniczenia inwestycyjne wynikające z obecności obszarów chronionych</w:t>
            </w:r>
          </w:p>
          <w:p w14:paraId="69DCC1ED" w14:textId="5F8AFA51" w:rsidR="0036331E" w:rsidRPr="00A22821" w:rsidRDefault="0036331E" w:rsidP="00A22821">
            <w:pPr>
              <w:pStyle w:val="Akapitzlist"/>
              <w:numPr>
                <w:ilvl w:val="0"/>
                <w:numId w:val="12"/>
              </w:numPr>
              <w:spacing w:before="120" w:after="120"/>
              <w:ind w:left="714" w:hanging="357"/>
              <w:contextualSpacing w:val="0"/>
              <w:rPr>
                <w:rFonts w:cstheme="minorHAnsi"/>
              </w:rPr>
            </w:pPr>
            <w:r w:rsidRPr="00A22821">
              <w:rPr>
                <w:rFonts w:cstheme="minorHAnsi"/>
              </w:rPr>
              <w:t>Wyczerpujące się złoża surowców występujących na terenie OF</w:t>
            </w:r>
          </w:p>
        </w:tc>
      </w:tr>
    </w:tbl>
    <w:p w14:paraId="4DB6D4D7" w14:textId="77777777" w:rsidR="00A22821" w:rsidRDefault="00A22821" w:rsidP="004B2A61">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82"/>
      </w:tblGrid>
      <w:tr w:rsidR="00A22821" w:rsidRPr="00AD51FB" w14:paraId="6A1AA927" w14:textId="77777777" w:rsidTr="00A22821">
        <w:tc>
          <w:tcPr>
            <w:tcW w:w="1980" w:type="dxa"/>
            <w:shd w:val="clear" w:color="auto" w:fill="3494BA" w:themeFill="accent1"/>
          </w:tcPr>
          <w:p w14:paraId="6CB0A2B0" w14:textId="404FF87C" w:rsidR="00A22821" w:rsidRPr="00AD51FB" w:rsidRDefault="00A22821" w:rsidP="00A22821">
            <w:pPr>
              <w:spacing w:before="120" w:after="120"/>
              <w:jc w:val="both"/>
              <w:rPr>
                <w:rFonts w:cstheme="minorHAnsi"/>
                <w:b/>
                <w:color w:val="FFFFFF" w:themeColor="background1"/>
              </w:rPr>
            </w:pPr>
            <w:r w:rsidRPr="00A22821">
              <w:rPr>
                <w:rFonts w:cstheme="minorHAnsi"/>
                <w:b/>
                <w:color w:val="FFFFFF" w:themeColor="background1"/>
              </w:rPr>
              <w:t>Szanse</w:t>
            </w:r>
          </w:p>
        </w:tc>
        <w:tc>
          <w:tcPr>
            <w:tcW w:w="7082" w:type="dxa"/>
          </w:tcPr>
          <w:p w14:paraId="4F5E2768" w14:textId="77777777" w:rsidR="00A22821" w:rsidRPr="00AD51FB" w:rsidRDefault="00A22821" w:rsidP="00A22821">
            <w:pPr>
              <w:spacing w:before="120" w:after="120"/>
              <w:jc w:val="both"/>
              <w:rPr>
                <w:rFonts w:cstheme="minorHAnsi"/>
                <w:b/>
                <w:color w:val="FFFFFF" w:themeColor="background1"/>
              </w:rPr>
            </w:pPr>
          </w:p>
        </w:tc>
      </w:tr>
      <w:tr w:rsidR="00A22821" w14:paraId="13EC2F26" w14:textId="77777777" w:rsidTr="00A22821">
        <w:tc>
          <w:tcPr>
            <w:tcW w:w="9062" w:type="dxa"/>
            <w:gridSpan w:val="2"/>
            <w:shd w:val="clear" w:color="auto" w:fill="D4EAF3" w:themeFill="accent1" w:themeFillTint="33"/>
          </w:tcPr>
          <w:p w14:paraId="7B0873B1" w14:textId="77777777" w:rsidR="00A22821" w:rsidRPr="00A22821" w:rsidRDefault="00A22821" w:rsidP="00A22821">
            <w:pPr>
              <w:pStyle w:val="Akapitzlist"/>
              <w:numPr>
                <w:ilvl w:val="0"/>
                <w:numId w:val="12"/>
              </w:numPr>
              <w:spacing w:before="120" w:after="120"/>
              <w:ind w:left="714" w:hanging="357"/>
              <w:contextualSpacing w:val="0"/>
              <w:rPr>
                <w:rFonts w:cstheme="minorHAnsi"/>
              </w:rPr>
            </w:pPr>
            <w:r w:rsidRPr="00A22821">
              <w:rPr>
                <w:rFonts w:cstheme="minorHAnsi"/>
              </w:rPr>
              <w:t>Pozyskanie środków zewnętrznych na realizację różnych przedsięwzięć – przede wszystkim środków unijnych w ramach nowej perspektywy unijnej 2021-2027</w:t>
            </w:r>
          </w:p>
          <w:p w14:paraId="0E4B58D2" w14:textId="77777777" w:rsidR="00A22821" w:rsidRPr="00A22821" w:rsidRDefault="00A22821" w:rsidP="00A22821">
            <w:pPr>
              <w:pStyle w:val="Akapitzlist"/>
              <w:numPr>
                <w:ilvl w:val="0"/>
                <w:numId w:val="12"/>
              </w:numPr>
              <w:spacing w:before="120" w:after="120"/>
              <w:ind w:left="714" w:hanging="357"/>
              <w:contextualSpacing w:val="0"/>
              <w:rPr>
                <w:rFonts w:cstheme="minorHAnsi"/>
              </w:rPr>
            </w:pPr>
            <w:r w:rsidRPr="00A22821">
              <w:rPr>
                <w:rFonts w:cstheme="minorHAnsi"/>
              </w:rPr>
              <w:t>Budowa węzła kolejowego w ramach Centralnego Portu Komunikacyjnego (szprycha nr 7)</w:t>
            </w:r>
          </w:p>
          <w:p w14:paraId="7B9B378B" w14:textId="77777777" w:rsidR="00A22821" w:rsidRPr="00A22821" w:rsidRDefault="00A22821" w:rsidP="00A22821">
            <w:pPr>
              <w:pStyle w:val="Akapitzlist"/>
              <w:numPr>
                <w:ilvl w:val="0"/>
                <w:numId w:val="12"/>
              </w:numPr>
              <w:spacing w:before="120" w:after="120"/>
              <w:ind w:left="714" w:hanging="357"/>
              <w:contextualSpacing w:val="0"/>
              <w:rPr>
                <w:rFonts w:cstheme="minorHAnsi"/>
              </w:rPr>
            </w:pPr>
            <w:r w:rsidRPr="00A22821">
              <w:rPr>
                <w:rFonts w:cstheme="minorHAnsi"/>
              </w:rPr>
              <w:t>Wykorzystanie szans rozwojowych związanych z zamknięciem kopalni Olkusz-Pomorzany</w:t>
            </w:r>
          </w:p>
          <w:p w14:paraId="0CAEC5BD" w14:textId="77777777" w:rsidR="00A22821" w:rsidRPr="00A22821" w:rsidRDefault="00A22821" w:rsidP="00A22821">
            <w:pPr>
              <w:pStyle w:val="Akapitzlist"/>
              <w:numPr>
                <w:ilvl w:val="0"/>
                <w:numId w:val="12"/>
              </w:numPr>
              <w:spacing w:before="120" w:after="120"/>
              <w:ind w:left="714" w:hanging="357"/>
              <w:contextualSpacing w:val="0"/>
              <w:rPr>
                <w:rFonts w:cstheme="minorHAnsi"/>
              </w:rPr>
            </w:pPr>
            <w:r w:rsidRPr="00A22821">
              <w:rPr>
                <w:rFonts w:cstheme="minorHAnsi"/>
              </w:rPr>
              <w:t>Rewitalizacja i konserwacja elementów materialnego dziedzictwa kulturowego</w:t>
            </w:r>
          </w:p>
          <w:p w14:paraId="27E4890D" w14:textId="77777777" w:rsidR="00A22821" w:rsidRPr="00A22821" w:rsidRDefault="00A22821" w:rsidP="00A22821">
            <w:pPr>
              <w:pStyle w:val="Akapitzlist"/>
              <w:numPr>
                <w:ilvl w:val="0"/>
                <w:numId w:val="12"/>
              </w:numPr>
              <w:spacing w:before="120" w:after="120"/>
              <w:ind w:left="714" w:hanging="357"/>
              <w:contextualSpacing w:val="0"/>
              <w:rPr>
                <w:rFonts w:cstheme="minorHAnsi"/>
              </w:rPr>
            </w:pPr>
            <w:r w:rsidRPr="00A22821">
              <w:rPr>
                <w:rFonts w:cstheme="minorHAnsi"/>
              </w:rPr>
              <w:t>Rozwój turystyki w oparciu o dziedzictwo kulturowe, przemysłowe i ofertę sportową</w:t>
            </w:r>
          </w:p>
          <w:p w14:paraId="6C36F89A" w14:textId="056A83B4" w:rsidR="00A22821" w:rsidRPr="00A22821" w:rsidRDefault="00A22821" w:rsidP="00A22821">
            <w:pPr>
              <w:pStyle w:val="Akapitzlist"/>
              <w:numPr>
                <w:ilvl w:val="0"/>
                <w:numId w:val="12"/>
              </w:numPr>
              <w:spacing w:before="120" w:after="120"/>
              <w:ind w:left="714" w:hanging="357"/>
              <w:contextualSpacing w:val="0"/>
              <w:rPr>
                <w:rFonts w:cstheme="minorHAnsi"/>
              </w:rPr>
            </w:pPr>
            <w:r w:rsidRPr="00A22821">
              <w:rPr>
                <w:rFonts w:cstheme="minorHAnsi"/>
              </w:rPr>
              <w:t>Rozwój zintegrowanego transportu publicznego w obrębie OF Olkusza</w:t>
            </w:r>
          </w:p>
        </w:tc>
      </w:tr>
    </w:tbl>
    <w:p w14:paraId="7A1015B7" w14:textId="77777777" w:rsidR="00A22821" w:rsidRPr="004B2A61" w:rsidRDefault="00A22821" w:rsidP="004B2A61">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82"/>
      </w:tblGrid>
      <w:tr w:rsidR="00A22821" w:rsidRPr="00AD51FB" w14:paraId="2D172C4F" w14:textId="77777777" w:rsidTr="00A22821">
        <w:tc>
          <w:tcPr>
            <w:tcW w:w="1980" w:type="dxa"/>
            <w:shd w:val="clear" w:color="auto" w:fill="808080" w:themeFill="background1" w:themeFillShade="80"/>
          </w:tcPr>
          <w:p w14:paraId="17F66B7C" w14:textId="52E52E0A" w:rsidR="00A22821" w:rsidRPr="00AD51FB" w:rsidRDefault="00A22821" w:rsidP="00A22821">
            <w:pPr>
              <w:spacing w:before="120" w:after="120"/>
              <w:jc w:val="both"/>
              <w:rPr>
                <w:rFonts w:cstheme="minorHAnsi"/>
                <w:b/>
                <w:color w:val="FFFFFF" w:themeColor="background1"/>
              </w:rPr>
            </w:pPr>
            <w:r w:rsidRPr="00A22821">
              <w:rPr>
                <w:rFonts w:cstheme="minorHAnsi"/>
                <w:b/>
                <w:color w:val="FFFFFF" w:themeColor="background1"/>
              </w:rPr>
              <w:t>Zagrożenia</w:t>
            </w:r>
          </w:p>
        </w:tc>
        <w:tc>
          <w:tcPr>
            <w:tcW w:w="7082" w:type="dxa"/>
          </w:tcPr>
          <w:p w14:paraId="63862A71" w14:textId="77777777" w:rsidR="00A22821" w:rsidRPr="00AD51FB" w:rsidRDefault="00A22821" w:rsidP="00A22821">
            <w:pPr>
              <w:spacing w:before="120" w:after="120"/>
              <w:jc w:val="both"/>
              <w:rPr>
                <w:rFonts w:cstheme="minorHAnsi"/>
                <w:b/>
                <w:color w:val="FFFFFF" w:themeColor="background1"/>
              </w:rPr>
            </w:pPr>
          </w:p>
        </w:tc>
      </w:tr>
      <w:tr w:rsidR="00A22821" w14:paraId="3D6945B4" w14:textId="77777777" w:rsidTr="00A22821">
        <w:tc>
          <w:tcPr>
            <w:tcW w:w="9062" w:type="dxa"/>
            <w:gridSpan w:val="2"/>
            <w:shd w:val="clear" w:color="auto" w:fill="F2F2F2" w:themeFill="background1" w:themeFillShade="F2"/>
          </w:tcPr>
          <w:p w14:paraId="6A8D8E6C" w14:textId="77777777" w:rsidR="00A22821" w:rsidRPr="00A22821" w:rsidRDefault="00A22821" w:rsidP="00A22821">
            <w:pPr>
              <w:pStyle w:val="Akapitzlist"/>
              <w:numPr>
                <w:ilvl w:val="0"/>
                <w:numId w:val="12"/>
              </w:numPr>
              <w:spacing w:before="120" w:after="120"/>
              <w:ind w:left="714" w:hanging="357"/>
              <w:contextualSpacing w:val="0"/>
              <w:rPr>
                <w:rFonts w:cstheme="minorHAnsi"/>
              </w:rPr>
            </w:pPr>
            <w:r w:rsidRPr="00A22821">
              <w:rPr>
                <w:rFonts w:cstheme="minorHAnsi"/>
              </w:rPr>
              <w:t>Starzenie się społeczności lokalnej i związane z tym coraz wyższe zapotrzebowanie na usługi medyczne i opiekuńcze</w:t>
            </w:r>
          </w:p>
          <w:p w14:paraId="539DA61E" w14:textId="77777777" w:rsidR="00A22821" w:rsidRPr="00A22821" w:rsidRDefault="00A22821" w:rsidP="00A22821">
            <w:pPr>
              <w:pStyle w:val="Akapitzlist"/>
              <w:numPr>
                <w:ilvl w:val="0"/>
                <w:numId w:val="12"/>
              </w:numPr>
              <w:spacing w:before="120" w:after="120"/>
              <w:ind w:left="714" w:hanging="357"/>
              <w:contextualSpacing w:val="0"/>
              <w:rPr>
                <w:rFonts w:cstheme="minorHAnsi"/>
              </w:rPr>
            </w:pPr>
            <w:r w:rsidRPr="00A22821">
              <w:rPr>
                <w:rFonts w:cstheme="minorHAnsi"/>
              </w:rPr>
              <w:t>Drenaż mózgów, czyli migracje młodych i wykształconych osób do konkurencyjnych ośrodków takich jak m.in. Kraków, Katowice</w:t>
            </w:r>
          </w:p>
          <w:p w14:paraId="61FAA16A" w14:textId="77777777" w:rsidR="00A22821" w:rsidRPr="00A22821" w:rsidRDefault="00A22821" w:rsidP="00A22821">
            <w:pPr>
              <w:pStyle w:val="Akapitzlist"/>
              <w:numPr>
                <w:ilvl w:val="0"/>
                <w:numId w:val="12"/>
              </w:numPr>
              <w:spacing w:before="120" w:after="120"/>
              <w:ind w:left="714" w:hanging="357"/>
              <w:contextualSpacing w:val="0"/>
              <w:rPr>
                <w:rFonts w:cstheme="minorHAnsi"/>
              </w:rPr>
            </w:pPr>
            <w:r w:rsidRPr="00A22821">
              <w:rPr>
                <w:rFonts w:cstheme="minorHAnsi"/>
              </w:rPr>
              <w:t xml:space="preserve">Brak możliwości pozyskania środków zewnętrznych na zaplanowane inwestycje </w:t>
            </w:r>
          </w:p>
          <w:p w14:paraId="670F5B83" w14:textId="77777777" w:rsidR="00A22821" w:rsidRPr="00A22821" w:rsidRDefault="00A22821" w:rsidP="00A22821">
            <w:pPr>
              <w:pStyle w:val="Akapitzlist"/>
              <w:numPr>
                <w:ilvl w:val="0"/>
                <w:numId w:val="12"/>
              </w:numPr>
              <w:spacing w:before="120" w:after="120"/>
              <w:ind w:left="714" w:hanging="357"/>
              <w:contextualSpacing w:val="0"/>
              <w:rPr>
                <w:rFonts w:cstheme="minorHAnsi"/>
              </w:rPr>
            </w:pPr>
            <w:r w:rsidRPr="00A22821">
              <w:rPr>
                <w:rFonts w:cstheme="minorHAnsi"/>
              </w:rPr>
              <w:t>Niepewna sytuacja międzynarodowa związana z konfliktem zbrojnym na Ukrainie, a tym samym niestabilna sytuacja gospodarcza (inflacja, wzrost cen energii, niedobory surowców itp.)</w:t>
            </w:r>
          </w:p>
          <w:p w14:paraId="6E729920" w14:textId="1A3AAA80" w:rsidR="00A22821" w:rsidRPr="0036331E" w:rsidRDefault="00A22821" w:rsidP="0036331E">
            <w:pPr>
              <w:pStyle w:val="Akapitzlist"/>
              <w:numPr>
                <w:ilvl w:val="0"/>
                <w:numId w:val="12"/>
              </w:numPr>
              <w:spacing w:before="120" w:after="120"/>
              <w:ind w:left="714" w:hanging="357"/>
              <w:contextualSpacing w:val="0"/>
              <w:rPr>
                <w:rFonts w:cstheme="minorHAnsi"/>
              </w:rPr>
            </w:pPr>
            <w:r w:rsidRPr="00A22821">
              <w:rPr>
                <w:rFonts w:cstheme="minorHAnsi"/>
              </w:rPr>
              <w:t>Zmiany klimatu i jego skutki – powodzie, susze, huragany</w:t>
            </w:r>
          </w:p>
        </w:tc>
      </w:tr>
    </w:tbl>
    <w:p w14:paraId="2B78560A" w14:textId="77777777" w:rsidR="00884DD1" w:rsidRPr="000A3195" w:rsidRDefault="00884DD1" w:rsidP="00884DD1"/>
    <w:p w14:paraId="659453B4" w14:textId="77777777" w:rsidR="00884DD1" w:rsidRPr="000A3195" w:rsidRDefault="00884DD1" w:rsidP="00884DD1"/>
    <w:p w14:paraId="1677A7CB" w14:textId="77777777" w:rsidR="00884DD1" w:rsidRPr="000A3195" w:rsidRDefault="00884DD1" w:rsidP="00884DD1"/>
    <w:p w14:paraId="07A06C51" w14:textId="6AEF8C1F" w:rsidR="009F2E80" w:rsidRDefault="009B1037" w:rsidP="009F2E80">
      <w:pPr>
        <w:pStyle w:val="Nagwek2"/>
      </w:pPr>
      <w:bookmarkStart w:id="12" w:name="_Toc181691575"/>
      <w:r>
        <w:t xml:space="preserve">1.5 </w:t>
      </w:r>
      <w:r w:rsidR="009F2E80">
        <w:t>Analiza problemów i potrzeb oraz potencjałów rozwojowych</w:t>
      </w:r>
      <w:bookmarkEnd w:id="12"/>
    </w:p>
    <w:p w14:paraId="37D3BD6F" w14:textId="7FCE88D5" w:rsidR="004E40BA" w:rsidRDefault="005E73E5" w:rsidP="0036331E">
      <w:pPr>
        <w:spacing w:line="360" w:lineRule="auto"/>
        <w:jc w:val="both"/>
      </w:pPr>
      <w:r w:rsidRPr="005E73E5">
        <w:t>Na podstawie wniosków z diagnozy strategicznej zidentyfikowano kluczowe problemy i wyzwania stoją</w:t>
      </w:r>
      <w:r>
        <w:t xml:space="preserve">ce przed OF Olkusza </w:t>
      </w:r>
      <w:r w:rsidRPr="005E73E5">
        <w:t>w perspektywie najbliższych lat oraz</w:t>
      </w:r>
      <w:r w:rsidR="0036331E">
        <w:t xml:space="preserve"> potencjały rozwojowe obszaru – </w:t>
      </w:r>
      <w:r w:rsidRPr="005E73E5">
        <w:t>wspólne dla wszystkich partnerskich gmin oraz priorytetowe z punktu widzenia samorządów.</w:t>
      </w:r>
    </w:p>
    <w:tbl>
      <w:tblPr>
        <w:tblStyle w:val="Tabela-Siatka"/>
        <w:tblW w:w="4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8"/>
        <w:gridCol w:w="260"/>
      </w:tblGrid>
      <w:tr w:rsidR="00A22821" w:rsidRPr="00AD51FB" w14:paraId="30149FBE" w14:textId="77777777" w:rsidTr="009B1037">
        <w:trPr>
          <w:trHeight w:val="1020"/>
          <w:jc w:val="center"/>
        </w:trPr>
        <w:tc>
          <w:tcPr>
            <w:tcW w:w="8789" w:type="dxa"/>
            <w:shd w:val="clear" w:color="auto" w:fill="2683C6" w:themeFill="accent6"/>
            <w:vAlign w:val="center"/>
          </w:tcPr>
          <w:p w14:paraId="16B48C24" w14:textId="5299ED95" w:rsidR="009B1037" w:rsidRDefault="003B4ACE" w:rsidP="009B1037">
            <w:pPr>
              <w:spacing w:before="120" w:after="120"/>
              <w:jc w:val="center"/>
              <w:rPr>
                <w:rFonts w:cstheme="minorHAnsi"/>
                <w:b/>
                <w:color w:val="FFFFFF" w:themeColor="background1"/>
                <w:sz w:val="36"/>
              </w:rPr>
            </w:pPr>
            <w:r w:rsidRPr="009B1037">
              <w:rPr>
                <w:rFonts w:cstheme="minorHAnsi"/>
                <w:b/>
                <w:color w:val="FFFFFF" w:themeColor="background1"/>
                <w:sz w:val="36"/>
              </w:rPr>
              <w:t xml:space="preserve">Kluczowe potencjały rozwojowe </w:t>
            </w:r>
          </w:p>
          <w:p w14:paraId="46BA3E03" w14:textId="27741EEF" w:rsidR="00A22821" w:rsidRPr="009B1037" w:rsidRDefault="003B4ACE" w:rsidP="009B1037">
            <w:pPr>
              <w:spacing w:before="120" w:after="120"/>
              <w:jc w:val="center"/>
              <w:rPr>
                <w:rFonts w:cstheme="minorHAnsi"/>
                <w:b/>
                <w:color w:val="FFFFFF" w:themeColor="background1"/>
                <w:sz w:val="36"/>
              </w:rPr>
            </w:pPr>
            <w:r>
              <w:rPr>
                <w:rFonts w:cstheme="minorHAnsi"/>
                <w:b/>
                <w:color w:val="FFFFFF" w:themeColor="background1"/>
                <w:sz w:val="36"/>
              </w:rPr>
              <w:t>OF O</w:t>
            </w:r>
            <w:r w:rsidRPr="009B1037">
              <w:rPr>
                <w:rFonts w:cstheme="minorHAnsi"/>
                <w:b/>
                <w:color w:val="FFFFFF" w:themeColor="background1"/>
                <w:sz w:val="36"/>
              </w:rPr>
              <w:t>lkusza</w:t>
            </w:r>
          </w:p>
        </w:tc>
        <w:tc>
          <w:tcPr>
            <w:tcW w:w="273" w:type="dxa"/>
          </w:tcPr>
          <w:p w14:paraId="71E9C417" w14:textId="77777777" w:rsidR="00A22821" w:rsidRPr="00AD51FB" w:rsidRDefault="00A22821" w:rsidP="00A22821">
            <w:pPr>
              <w:spacing w:before="120" w:after="120"/>
              <w:jc w:val="both"/>
              <w:rPr>
                <w:rFonts w:cstheme="minorHAnsi"/>
                <w:b/>
                <w:color w:val="FFFFFF" w:themeColor="background1"/>
              </w:rPr>
            </w:pPr>
          </w:p>
        </w:tc>
      </w:tr>
    </w:tbl>
    <w:p w14:paraId="7F0585F6" w14:textId="77777777" w:rsidR="00A22821" w:rsidRPr="009B1037" w:rsidRDefault="00A22821">
      <w:pPr>
        <w:rPr>
          <w:sz w:val="12"/>
        </w:rPr>
      </w:pPr>
    </w:p>
    <w:p w14:paraId="11F13CCF" w14:textId="378524DE" w:rsidR="00A22821" w:rsidRDefault="00A22821">
      <w:r>
        <w:rPr>
          <w:noProof/>
          <w:lang w:eastAsia="pl-PL"/>
        </w:rPr>
        <w:drawing>
          <wp:inline distT="0" distB="0" distL="0" distR="0" wp14:anchorId="09E43A49" wp14:editId="665F2660">
            <wp:extent cx="5760720" cy="2473505"/>
            <wp:effectExtent l="38100" t="0" r="49530" b="0"/>
            <wp:docPr id="1662779496"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863E4A5" w14:textId="11DA60A1" w:rsidR="00646E01" w:rsidRDefault="004E40BA" w:rsidP="00864E8C">
      <w:pPr>
        <w:spacing w:line="360" w:lineRule="auto"/>
        <w:jc w:val="both"/>
      </w:pPr>
      <w:r w:rsidRPr="004E40BA">
        <w:t>Geograficznie</w:t>
      </w:r>
      <w:r>
        <w:t xml:space="preserve"> MOF</w:t>
      </w:r>
      <w:r w:rsidRPr="004E40BA">
        <w:t xml:space="preserve"> wyróżnia położenie w samym sercu</w:t>
      </w:r>
      <w:r w:rsidR="00087F77">
        <w:t xml:space="preserve"> Jury Krakowsko-Częstochowskiej, </w:t>
      </w:r>
      <w:r w:rsidRPr="004E40BA">
        <w:t>na Wyżynie Olkuskiej.</w:t>
      </w:r>
      <w:r w:rsidR="007509B6">
        <w:t xml:space="preserve"> Poza ponadprzeciętnymi walorami przyrodniczo-krajobrazowymi, region ten charakteryzuje </w:t>
      </w:r>
      <w:r w:rsidR="007509B6" w:rsidRPr="007509B6">
        <w:t xml:space="preserve">niepowtarzalność </w:t>
      </w:r>
      <w:r w:rsidR="007509B6">
        <w:t xml:space="preserve">krajobrazu kulturowego, na który składają się relikty dawnego osadnictwa czy zabytki architektury i sztuki. Główną atrakcję stanowią malowniczo położone </w:t>
      </w:r>
      <w:r w:rsidR="007509B6" w:rsidRPr="007509B6">
        <w:t>zamki i strażnice</w:t>
      </w:r>
      <w:r w:rsidR="007509B6">
        <w:t xml:space="preserve"> zwane „orlimi gniazdami” – w celu udostępnienia ich turystom, utworzono Szlak Orlich Gniazd, na którym można zwiedzić również </w:t>
      </w:r>
      <w:r w:rsidR="007509B6" w:rsidRPr="007509B6">
        <w:t>szereg innych atrakcj</w:t>
      </w:r>
      <w:r w:rsidR="007509B6">
        <w:t xml:space="preserve">i, m.in. zabytkowe budowle sakralne czy pomniki przyrody ożywionej i nieożywionej. </w:t>
      </w:r>
      <w:r w:rsidR="00646E01">
        <w:t>W granicach MOF Olkusza Szlak Orlich Gniazd przebiega przez gminy: Olkusz i Klucze, ze względu na lokalizację Zamku w Rabsztynie (gm. Olkusz)</w:t>
      </w:r>
      <w:r w:rsidR="004C0061">
        <w:t xml:space="preserve"> oraz Zamku na wzgórzu św. Krzyża w Bydlinie (gm. Klucze)</w:t>
      </w:r>
      <w:r w:rsidR="00646E01">
        <w:t xml:space="preserve">. W ostatnich latach w Zamku </w:t>
      </w:r>
      <w:r w:rsidR="00BC3F88">
        <w:t xml:space="preserve">w Rabsztynie </w:t>
      </w:r>
      <w:r w:rsidR="00646E01">
        <w:t xml:space="preserve">prowadzono </w:t>
      </w:r>
      <w:r w:rsidR="00646E01" w:rsidRPr="00713CED">
        <w:t>prace zabezpieczające, odbudowano część murów, dwa mosty oraz zrekonstruowano bramę wjazdową, a także częściowo zamek górny i wieżę. W piwnicach pałacu powstał pawilon dla obsługi ruchu turystycznego i zagospodarowano dziedziniec zamku. Udostępniono także do zwiedzania piwnice zamku średniego.</w:t>
      </w:r>
      <w:r w:rsidR="00AE7BB7">
        <w:t xml:space="preserve"> Niezbędne jest jednak zagospodarowanie terenu </w:t>
      </w:r>
      <w:r w:rsidR="008973FC">
        <w:t>przy Zamku w celu rozwinięcia oferty turystycznej i jej urozmaicenia.</w:t>
      </w:r>
      <w:r w:rsidR="0007562D">
        <w:t xml:space="preserve"> Dobrym przykładem takiego działania</w:t>
      </w:r>
      <w:r w:rsidR="005641C6">
        <w:t xml:space="preserve"> może być </w:t>
      </w:r>
      <w:r w:rsidR="005641C6" w:rsidRPr="005641C6">
        <w:t>Wzgórze Św. Krzyż w Bydlinie z wyjątkowym systemem fortyfikacji polowych z okresu I Wojny Światowej, biegnących tuż przy ruinach średniowiecznego zamku (wpisanego wraz z otoczeniem do rejestru zabytków nieruchomych Województwa Małopolskiego). Całość tworzy niezwykły park „Pole bitwy pod Krzyw</w:t>
      </w:r>
      <w:r w:rsidR="0036331E">
        <w:t>o</w:t>
      </w:r>
      <w:r w:rsidR="005641C6" w:rsidRPr="005641C6">
        <w:t>płotami”, otoczony majestatycznym las</w:t>
      </w:r>
      <w:r w:rsidR="005641C6">
        <w:t xml:space="preserve">em modrzewiowym, który powstał </w:t>
      </w:r>
      <w:r w:rsidR="005641C6" w:rsidRPr="005641C6">
        <w:t xml:space="preserve">dzięki realizacji 2 projektów inwestycyjnych ze środków MKiDN. Konieczne jest </w:t>
      </w:r>
      <w:r w:rsidR="005641C6">
        <w:t xml:space="preserve">jednak </w:t>
      </w:r>
      <w:r w:rsidR="005641C6" w:rsidRPr="005641C6">
        <w:t>dokończenie</w:t>
      </w:r>
      <w:r w:rsidR="005641C6">
        <w:t xml:space="preserve"> zagospodarowania tego terenu i uzupełnienie go o ścieżki piesze czy </w:t>
      </w:r>
      <w:r w:rsidR="0036331E">
        <w:t>dostosowanie do potrzeb osób ze </w:t>
      </w:r>
      <w:r w:rsidR="005641C6">
        <w:t xml:space="preserve">szczególnymi potrzebami. </w:t>
      </w:r>
    </w:p>
    <w:p w14:paraId="1754D87E" w14:textId="2CBE9360" w:rsidR="00E01B8E" w:rsidRDefault="007509B6" w:rsidP="00864E8C">
      <w:pPr>
        <w:spacing w:line="360" w:lineRule="auto"/>
        <w:jc w:val="both"/>
      </w:pPr>
      <w:r w:rsidRPr="007509B6">
        <w:t>Dzięki stale</w:t>
      </w:r>
      <w:r w:rsidR="00383520">
        <w:t xml:space="preserve"> rozwijanej infrastrukturze, Szlak</w:t>
      </w:r>
      <w:r w:rsidR="00F04ED0">
        <w:t xml:space="preserve"> Orlich Gniazd</w:t>
      </w:r>
      <w:r w:rsidR="00383520">
        <w:t xml:space="preserve"> jest idealną propozycją dla turystów chcących aktywnie spędzić czas – możliwe jest jego przebycie zarówno pieszo, jak i na rowerze, a oferta obejmuje również zwiedzanie jaskiń czy wspinaczkę, co sprawia, że rokrocznie cieszy</w:t>
      </w:r>
      <w:r w:rsidR="009B2731">
        <w:t xml:space="preserve"> się ogromnym zainteresowaniem.</w:t>
      </w:r>
      <w:r w:rsidR="00AC5D4F">
        <w:t xml:space="preserve"> </w:t>
      </w:r>
      <w:r w:rsidR="00E01B8E">
        <w:t>Według szacunków, Zamek Rabsztyn i Wzgórze w 2023 roku odwiedziło ponad 59 000 osób</w:t>
      </w:r>
      <w:r w:rsidR="00E01B8E">
        <w:rPr>
          <w:rStyle w:val="Odwoanieprzypisudolnego"/>
        </w:rPr>
        <w:footnoteReference w:id="5"/>
      </w:r>
      <w:r w:rsidR="00E01B8E">
        <w:t xml:space="preserve">. </w:t>
      </w:r>
    </w:p>
    <w:p w14:paraId="19809834" w14:textId="10A366EB" w:rsidR="00AC5D4F" w:rsidRDefault="00AC5D4F" w:rsidP="00864E8C">
      <w:pPr>
        <w:spacing w:line="360" w:lineRule="auto"/>
        <w:jc w:val="both"/>
      </w:pPr>
      <w:r>
        <w:t xml:space="preserve">W ramach badania ewaluacyjnego </w:t>
      </w:r>
      <w:r w:rsidRPr="00136B9A">
        <w:t>dot. pomiaru liczby osób kor</w:t>
      </w:r>
      <w:r w:rsidR="004B6174">
        <w:t>zystających z tras rowerowych w </w:t>
      </w:r>
      <w:r w:rsidRPr="00136B9A">
        <w:t>regi</w:t>
      </w:r>
      <w:r>
        <w:t>onie przeprowadzonego w 2022 r.</w:t>
      </w:r>
      <w:r>
        <w:rPr>
          <w:rStyle w:val="Odwoanieprzypisudolnego"/>
        </w:rPr>
        <w:footnoteReference w:id="6"/>
      </w:r>
      <w:r w:rsidRPr="00136B9A">
        <w:t xml:space="preserve">, </w:t>
      </w:r>
      <w:r>
        <w:t xml:space="preserve">na terenie gm. Klucze zainstalowano licznik rowerzystów (punkt pomiarowy </w:t>
      </w:r>
      <w:r w:rsidRPr="005C6513">
        <w:t>Zalesie Golczowskie</w:t>
      </w:r>
      <w:r>
        <w:t xml:space="preserve">). Na podstawie wyników pomiarów oszacowano natężenie ruchu rowerzystów na rekomendowanym do utworzenia Jurajskim </w:t>
      </w:r>
      <w:r w:rsidRPr="00136B9A">
        <w:t>Ro</w:t>
      </w:r>
      <w:r>
        <w:t>werowym</w:t>
      </w:r>
      <w:r w:rsidRPr="00136B9A">
        <w:t xml:space="preserve"> Szlak</w:t>
      </w:r>
      <w:r>
        <w:t>u</w:t>
      </w:r>
      <w:r w:rsidRPr="00136B9A">
        <w:t xml:space="preserve"> Orlich Gniazd</w:t>
      </w:r>
      <w:r>
        <w:t xml:space="preserve"> łączącym Częstochowę z Krakowem, przebiegaj</w:t>
      </w:r>
      <w:r w:rsidR="0036331E">
        <w:t>ącym przez gm. Klucze i Olkusz. Według szacunków</w:t>
      </w:r>
      <w:r>
        <w:t xml:space="preserve"> przewidywane natężenie na tym odcinku oscyluje między 10 000-50 000 osób/rok.</w:t>
      </w:r>
    </w:p>
    <w:p w14:paraId="3BA1EC1D" w14:textId="1F07BA50" w:rsidR="00383520" w:rsidRDefault="00AC5D4F" w:rsidP="00864E8C">
      <w:pPr>
        <w:spacing w:line="360" w:lineRule="auto"/>
        <w:jc w:val="both"/>
      </w:pPr>
      <w:r>
        <w:t>Przebieg Szlaku przez OF Olkusza stanowi zatem jeden z kluczowych potencjałów do rozwoju funkcji turystycznych obszaru. Wysokie natężenie ruchu turystycznego w okolicy Zamku Rabsztyn należy jednak odpowiednio ukierunkować, rozproszyć w kierunku innych, nie mniej atrakcyjnych miejsc.</w:t>
      </w:r>
      <w:r w:rsidR="003C35F5">
        <w:t xml:space="preserve"> </w:t>
      </w:r>
    </w:p>
    <w:p w14:paraId="4C18BCA6" w14:textId="05B43E00" w:rsidR="00AC5D4F" w:rsidRDefault="00AC5D4F" w:rsidP="00AA359B">
      <w:pPr>
        <w:spacing w:line="360" w:lineRule="auto"/>
        <w:jc w:val="both"/>
      </w:pPr>
      <w:r>
        <w:t>Jedną z największych atrakcji w OF jest również Pustynia Błędowska</w:t>
      </w:r>
      <w:r w:rsidR="0023370C">
        <w:t xml:space="preserve"> (gm. Klucze)</w:t>
      </w:r>
      <w:r>
        <w:t xml:space="preserve">, stanowiąca fenomen przyrodniczy w regionie. </w:t>
      </w:r>
      <w:r w:rsidR="00207F88">
        <w:t xml:space="preserve">Jest to </w:t>
      </w:r>
      <w:r w:rsidR="00207F88" w:rsidRPr="00207F88">
        <w:t>największy w Polsce obszar lotnych piasków (</w:t>
      </w:r>
      <w:r w:rsidR="00207F88">
        <w:t>zajmuje powierzchnię ok.</w:t>
      </w:r>
      <w:r w:rsidR="0036331E">
        <w:t> </w:t>
      </w:r>
      <w:r w:rsidR="00207F88" w:rsidRPr="00207F88">
        <w:t>3</w:t>
      </w:r>
      <w:r w:rsidR="002330C8">
        <w:t>2</w:t>
      </w:r>
      <w:r w:rsidR="00207F88" w:rsidRPr="00207F88">
        <w:t xml:space="preserve"> km²),</w:t>
      </w:r>
      <w:r w:rsidR="002330C8" w:rsidRPr="002330C8">
        <w:t xml:space="preserve"> </w:t>
      </w:r>
      <w:r w:rsidR="002330C8">
        <w:t>położony również na terenie P</w:t>
      </w:r>
      <w:r w:rsidR="002330C8" w:rsidRPr="002330C8">
        <w:t>arku Krajobrazowego Orlich Gniazd</w:t>
      </w:r>
      <w:r w:rsidR="002330C8">
        <w:t xml:space="preserve">. </w:t>
      </w:r>
      <w:r w:rsidR="00A01EA5">
        <w:t xml:space="preserve">Ze względu na te walory, </w:t>
      </w:r>
      <w:r w:rsidR="006A5B2B">
        <w:t>Pustynia jest atrakcyjnym miejscem sprzyjającym wędr</w:t>
      </w:r>
      <w:r w:rsidR="0036331E">
        <w:t>ówkom pieszym, a nawet konnym i </w:t>
      </w:r>
      <w:r w:rsidR="006A5B2B">
        <w:t xml:space="preserve">rokrocznie przyciąga </w:t>
      </w:r>
      <w:r w:rsidR="00BD3DB5">
        <w:t>ponad 100</w:t>
      </w:r>
      <w:r w:rsidR="00D77653">
        <w:t xml:space="preserve"> </w:t>
      </w:r>
      <w:r w:rsidR="00BD3DB5">
        <w:t>000</w:t>
      </w:r>
      <w:r w:rsidR="00D77653">
        <w:t xml:space="preserve"> turystów</w:t>
      </w:r>
      <w:r w:rsidR="00BD3DB5">
        <w:rPr>
          <w:rStyle w:val="Odwoanieprzypisudolnego"/>
        </w:rPr>
        <w:footnoteReference w:id="7"/>
      </w:r>
      <w:r w:rsidR="00D77653">
        <w:t xml:space="preserve">, </w:t>
      </w:r>
      <w:r w:rsidR="006A5B2B">
        <w:t xml:space="preserve">nie tylko z regionu, ale całego kraju. </w:t>
      </w:r>
      <w:r w:rsidR="00A01EA5">
        <w:t xml:space="preserve">Przez jej teren przebiega </w:t>
      </w:r>
      <w:r w:rsidR="00A01EA5" w:rsidRPr="00A01EA5">
        <w:t>Żółty Szlak Pustynny</w:t>
      </w:r>
      <w:r w:rsidR="00A01EA5">
        <w:t xml:space="preserve"> łączący Błędów z Ryczowem, a także </w:t>
      </w:r>
      <w:r w:rsidR="00A01EA5" w:rsidRPr="00A01EA5">
        <w:t>Transjurajski Szlak Konny</w:t>
      </w:r>
      <w:r w:rsidR="00A01EA5">
        <w:t>.</w:t>
      </w:r>
      <w:r w:rsidR="00AA359B">
        <w:t xml:space="preserve"> Popularnymi miejscami, z których można oglądać Pustynię Błędowską, są punkty widokowe: „Czubatka” w Kluczach oraz „Dąbrówka” w Chechle. W 2018 r. turystom udostępniono również „Różę Wiatrów”, która stała się jednym z najważniejszych obiektów turystycznych Gminy Klucze oraz całego Powiatu Olkuskiego. </w:t>
      </w:r>
    </w:p>
    <w:p w14:paraId="026A43A7" w14:textId="53B4A404" w:rsidR="0087657A" w:rsidRDefault="00AC5D4F" w:rsidP="00864E8C">
      <w:pPr>
        <w:spacing w:line="360" w:lineRule="auto"/>
        <w:jc w:val="both"/>
      </w:pPr>
      <w:r w:rsidRPr="00AC5D4F">
        <w:t xml:space="preserve">Na terenie Pustyni Błędowskiej ma miejsce szereg fenomenów przyrodniczych, do których dostęp częściowo jest bezpośredni </w:t>
      </w:r>
      <w:r w:rsidR="00FF4823">
        <w:t>(</w:t>
      </w:r>
      <w:r w:rsidRPr="00AC5D4F">
        <w:t>walory krajobrazowe</w:t>
      </w:r>
      <w:r w:rsidR="00FF4823">
        <w:t>)</w:t>
      </w:r>
      <w:r w:rsidRPr="00AC5D4F">
        <w:t xml:space="preserve">, a do części </w:t>
      </w:r>
      <w:r w:rsidR="00FF4823">
        <w:t xml:space="preserve">– znacząco ograniczony. </w:t>
      </w:r>
      <w:r w:rsidRPr="00AC5D4F">
        <w:t xml:space="preserve">Do zasobów takich zaliczają się np. skamieniałości jurajskie, utwory krasowe, endemiczna flora i fauna oraz inne zjawiska przyrodnicze, które nie dają się zaobserwować bezpośrednio. Zasoby te wymagają budowy </w:t>
      </w:r>
      <w:r w:rsidR="0087657A">
        <w:t xml:space="preserve">odpowiedniej infrastruktury, dzięki której byłaby możliwość </w:t>
      </w:r>
      <w:r w:rsidR="001A1621">
        <w:t>udostępnienia ich zwiedzającym</w:t>
      </w:r>
      <w:r w:rsidR="0087657A">
        <w:t xml:space="preserve">, a także </w:t>
      </w:r>
      <w:r w:rsidRPr="00AC5D4F">
        <w:t>utworzenia atr</w:t>
      </w:r>
      <w:r w:rsidR="0087657A">
        <w:t xml:space="preserve">akcyjnej warstwy informacyjnej umożliwiającej promocję oraz edukację </w:t>
      </w:r>
      <w:r w:rsidR="004B6174">
        <w:t>turystów w </w:t>
      </w:r>
      <w:r w:rsidR="001A1621">
        <w:t xml:space="preserve">zakresie ochrony cennych walorów. </w:t>
      </w:r>
    </w:p>
    <w:p w14:paraId="4FC4FA47" w14:textId="4A808E2E" w:rsidR="006133C1" w:rsidRDefault="00606996" w:rsidP="00864E8C">
      <w:pPr>
        <w:spacing w:line="360" w:lineRule="auto"/>
        <w:jc w:val="both"/>
      </w:pPr>
      <w:r w:rsidRPr="00046E04">
        <w:t xml:space="preserve">Jedną z najnowszych atrakcji </w:t>
      </w:r>
      <w:r>
        <w:t>OF</w:t>
      </w:r>
      <w:r w:rsidRPr="00046E04">
        <w:t xml:space="preserve"> jest Podziemny Olkusz</w:t>
      </w:r>
      <w:r>
        <w:t>, czyli dwie tra</w:t>
      </w:r>
      <w:r w:rsidR="004B6174">
        <w:t>sy turystyczne znajdujące się w </w:t>
      </w:r>
      <w:r>
        <w:t xml:space="preserve">podziemiach </w:t>
      </w:r>
      <w:r w:rsidRPr="00046E04">
        <w:t>dawnego ratusza oraz piwnicach starostwa</w:t>
      </w:r>
      <w:r>
        <w:t xml:space="preserve"> w Olkuszu. Trasy prezentują</w:t>
      </w:r>
      <w:r w:rsidRPr="00046E04">
        <w:t xml:space="preserve"> historię miast</w:t>
      </w:r>
      <w:r w:rsidR="0036331E">
        <w:t>a i regionu</w:t>
      </w:r>
      <w:r>
        <w:t xml:space="preserve"> z naciskiem na historię</w:t>
      </w:r>
      <w:r w:rsidRPr="00046E04">
        <w:t xml:space="preserve"> górnictwa, hutnictwa i mennicy Olkusza</w:t>
      </w:r>
      <w:r>
        <w:t>. Dziedzictwo Ziemi Olkuskiej jest również prezentowane w ramach Kolekcji</w:t>
      </w:r>
      <w:r w:rsidRPr="009B2721">
        <w:t xml:space="preserve"> Minerałów Ziemi Olkuskiej i Skamieniałości Jury Krakowsko-Częstochowskiej </w:t>
      </w:r>
      <w:r>
        <w:t xml:space="preserve">– zbioru </w:t>
      </w:r>
      <w:r w:rsidRPr="009B2721">
        <w:t>kilku tysięcy eksponatów skupiających się na rudach cynku, ołowiu i towarzyszących im minerałach.</w:t>
      </w:r>
      <w:r w:rsidR="00426961">
        <w:t xml:space="preserve"> </w:t>
      </w:r>
      <w:r w:rsidR="00A24162">
        <w:t xml:space="preserve">Co więcej, w 2017 roku przy ZGH „Bolesław” otwarto wystawę pn. Kopalnia Wiedzy o Cynku, która cieszy się dużym zainteresowaniem wśród turystów z całego kraju, a także zza granicy: w latach </w:t>
      </w:r>
      <w:r w:rsidR="00A24162" w:rsidRPr="00A24162">
        <w:t>2018</w:t>
      </w:r>
      <w:r w:rsidR="00A24162">
        <w:t>-</w:t>
      </w:r>
      <w:r w:rsidR="00A24162" w:rsidRPr="00A24162">
        <w:t>2023 wystawę odwiedziło ok. 7 500 osób</w:t>
      </w:r>
      <w:r w:rsidR="00A24162">
        <w:t xml:space="preserve">. </w:t>
      </w:r>
      <w:r w:rsidR="006133C1">
        <w:t>Turystyka industrialna (przemysłowa) oparta na dziedzictwie górnictwa OF Olkusza jest jednak wciąż niedostatecznie wykorzystanym potencjałem.</w:t>
      </w:r>
      <w:r w:rsidR="00846C78">
        <w:t xml:space="preserve"> Na terenie partnerskich gmin znajduje się wiele obiektów poprzemysłowych oraz pozostających </w:t>
      </w:r>
      <w:r w:rsidR="003F3466">
        <w:t>do zagospodarowania</w:t>
      </w:r>
      <w:r w:rsidR="00846C78">
        <w:t xml:space="preserve"> miejsc takich jak np. odkrywki pogórnicze.</w:t>
      </w:r>
      <w:r w:rsidR="003D621B">
        <w:t xml:space="preserve"> </w:t>
      </w:r>
    </w:p>
    <w:p w14:paraId="69A97600" w14:textId="03E141A1" w:rsidR="00426961" w:rsidRDefault="00426961" w:rsidP="00864E8C">
      <w:pPr>
        <w:spacing w:line="360" w:lineRule="auto"/>
        <w:jc w:val="both"/>
      </w:pPr>
      <w:r>
        <w:t xml:space="preserve">W ostatnich latach coraz większą popularnością cieszą się również szlaki i trasy turystyczne umożliwiające aktywne zwiedzanie, w tym m.in. trasa Velo Przemsza, która jest wynikiem projektu </w:t>
      </w:r>
      <w:r w:rsidR="0036331E">
        <w:t>pn. </w:t>
      </w:r>
      <w:r w:rsidRPr="00426961">
        <w:t>,,Utworzenie pętli rowerowych oraz infrastruktury turystycznej na obszarze powiatu olkuskiego jako zintegrowanego produktu turystycznego”</w:t>
      </w:r>
      <w:r>
        <w:t xml:space="preserve"> realizowanego we współpracy gmin Klucze i Olkusz.</w:t>
      </w:r>
    </w:p>
    <w:p w14:paraId="056E42D6" w14:textId="739F65DF" w:rsidR="009B1037" w:rsidRDefault="00893090" w:rsidP="00C51085">
      <w:pPr>
        <w:spacing w:line="360" w:lineRule="auto"/>
        <w:jc w:val="both"/>
      </w:pPr>
      <w:r>
        <w:t>Według wyników badania ruchu turystycznego realizowanego przez Małopolską Organizację Turystyczną dla Urzędu Marszałkowskiego Województwa Małopolskiego w 2023 r.</w:t>
      </w:r>
      <w:r>
        <w:rPr>
          <w:rStyle w:val="Odwoanieprzypisudolnego"/>
        </w:rPr>
        <w:footnoteReference w:id="8"/>
      </w:r>
      <w:r>
        <w:t xml:space="preserve">, ogólna liczba turystów </w:t>
      </w:r>
      <w:r w:rsidR="00FA585C">
        <w:t xml:space="preserve">(osób korzystających z co najmniej jednego noclegu) </w:t>
      </w:r>
      <w:r>
        <w:t xml:space="preserve">w powiecie olkuskim wyniosła 112 634 </w:t>
      </w:r>
      <w:r w:rsidR="000259EF">
        <w:t>osób. W strukturze turystów dominowali turyści krajowi</w:t>
      </w:r>
      <w:r w:rsidR="00786CD4">
        <w:t xml:space="preserve"> (ok. 94% wszystkich turystów), z czego ok. 1/4 stanowiły </w:t>
      </w:r>
      <w:r w:rsidR="000259EF">
        <w:t xml:space="preserve">osoby z </w:t>
      </w:r>
      <w:r w:rsidR="00786CD4">
        <w:t xml:space="preserve">województwa małopolskiego. </w:t>
      </w:r>
      <w:r w:rsidR="00EB1BCF">
        <w:t>Turyści zagraniczni to natomiast zaledwie 6%.</w:t>
      </w:r>
      <w:r w:rsidR="00FB2A39">
        <w:t xml:space="preserve"> Według szacunków, w 2023 r. powiat odwiedziło również </w:t>
      </w:r>
      <w:r w:rsidR="00FB2A39" w:rsidRPr="00FB2A39">
        <w:t>52</w:t>
      </w:r>
      <w:r w:rsidR="00FB2A39">
        <w:t> </w:t>
      </w:r>
      <w:r w:rsidR="00FB2A39" w:rsidRPr="00FB2A39">
        <w:t>649</w:t>
      </w:r>
      <w:r w:rsidR="00FB2A39">
        <w:t xml:space="preserve"> osób, które przyjechały tutaj tylko na jeden dzień (ok. 88% to osoby z kraju).</w:t>
      </w:r>
      <w:r w:rsidR="002E168A">
        <w:t xml:space="preserve"> W raporcie ujęto szereg rekomendacji, wśród których znajdują się również działania zmierzające do wydłużenia pobytu turystów w regionie, m.in. poprzez wdrażania odpowiednich  pakietów</w:t>
      </w:r>
      <w:r w:rsidR="00FA585C">
        <w:t xml:space="preserve"> wielodniow</w:t>
      </w:r>
      <w:r w:rsidR="002E168A">
        <w:t>ych i ich promocję.</w:t>
      </w:r>
      <w:r w:rsidR="00C51085">
        <w:t xml:space="preserve"> Z uwagi na fakt, iż </w:t>
      </w:r>
      <w:r w:rsidR="00C51085" w:rsidRPr="00C51085">
        <w:t>głównym celem przyjazdu do województwa jest wypoczynek w połączeniu ze zwiedzaniem z</w:t>
      </w:r>
      <w:r w:rsidR="00C51085">
        <w:t>abytków i/lub turystyką aktywną, działania ukierunkowane na wydłużenie pobytu powinny obejmować również rozwijanie infrastruktury pieszo-rowerowej umożliwiającej aktywne zwiedzanie. Zidentyfikowane potencjały OF Olkusza doskonale wpisują się w obecne trendy, co stwarza dogodne warunki do rozwijania funkcji turystycznych Obszaru.</w:t>
      </w:r>
      <w:r w:rsidR="000F5E68" w:rsidRPr="000F5E68">
        <w:t xml:space="preserve"> Sprzyja temu również dogodna lokalizacja </w:t>
      </w:r>
      <w:r w:rsidR="000F5E68">
        <w:t xml:space="preserve">OF </w:t>
      </w:r>
      <w:r w:rsidR="000F5E68" w:rsidRPr="000F5E68">
        <w:t>między dwoma dużymi ośrodkami metropolita</w:t>
      </w:r>
      <w:r w:rsidR="000F5E68">
        <w:t>l</w:t>
      </w:r>
      <w:r w:rsidR="00925A7C">
        <w:t xml:space="preserve">nymi – Katowicami a Krakowem oraz </w:t>
      </w:r>
      <w:r w:rsidR="000F5E68" w:rsidRPr="000F5E68">
        <w:t>przebieg drogi krajowej nr 94</w:t>
      </w:r>
      <w:r w:rsidR="000F5E68">
        <w:t xml:space="preserve">, która wpływa na dostępność komunikacyjną obszaru. </w:t>
      </w:r>
    </w:p>
    <w:tbl>
      <w:tblPr>
        <w:tblStyle w:val="Tabela-Siatka"/>
        <w:tblW w:w="4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8"/>
        <w:gridCol w:w="260"/>
      </w:tblGrid>
      <w:tr w:rsidR="009B1037" w:rsidRPr="00AD51FB" w14:paraId="1E9AEE7C" w14:textId="77777777" w:rsidTr="009B1037">
        <w:trPr>
          <w:trHeight w:val="1020"/>
          <w:jc w:val="center"/>
        </w:trPr>
        <w:tc>
          <w:tcPr>
            <w:tcW w:w="8789" w:type="dxa"/>
            <w:shd w:val="clear" w:color="auto" w:fill="808080" w:themeFill="background1" w:themeFillShade="80"/>
            <w:vAlign w:val="center"/>
          </w:tcPr>
          <w:p w14:paraId="41FC91ED" w14:textId="6F0D69E0" w:rsidR="009B1037" w:rsidRPr="009B1037" w:rsidRDefault="003B4ACE" w:rsidP="00B35C5B">
            <w:pPr>
              <w:spacing w:before="120" w:after="120"/>
              <w:jc w:val="center"/>
              <w:rPr>
                <w:rFonts w:cstheme="minorHAnsi"/>
                <w:b/>
                <w:color w:val="FFFFFF" w:themeColor="background1"/>
                <w:sz w:val="36"/>
              </w:rPr>
            </w:pPr>
            <w:r w:rsidRPr="003B4ACE">
              <w:rPr>
                <w:rFonts w:cstheme="minorHAnsi"/>
                <w:b/>
                <w:color w:val="FFFFFF" w:themeColor="background1"/>
                <w:sz w:val="36"/>
              </w:rPr>
              <w:t xml:space="preserve">Kluczowe problemy, potrzeby rozwojowe </w:t>
            </w:r>
            <w:r>
              <w:rPr>
                <w:rFonts w:cstheme="minorHAnsi"/>
                <w:b/>
                <w:color w:val="FFFFFF" w:themeColor="background1"/>
                <w:sz w:val="36"/>
              </w:rPr>
              <w:br/>
            </w:r>
            <w:r w:rsidRPr="003B4ACE">
              <w:rPr>
                <w:rFonts w:cstheme="minorHAnsi"/>
                <w:b/>
                <w:color w:val="FFFFFF" w:themeColor="background1"/>
                <w:sz w:val="36"/>
              </w:rPr>
              <w:t>OF Olkusza</w:t>
            </w:r>
          </w:p>
        </w:tc>
        <w:tc>
          <w:tcPr>
            <w:tcW w:w="273" w:type="dxa"/>
          </w:tcPr>
          <w:p w14:paraId="117708D8" w14:textId="77777777" w:rsidR="009B1037" w:rsidRPr="00AD51FB" w:rsidRDefault="009B1037" w:rsidP="00B35C5B">
            <w:pPr>
              <w:spacing w:before="120" w:after="120"/>
              <w:jc w:val="both"/>
              <w:rPr>
                <w:rFonts w:cstheme="minorHAnsi"/>
                <w:b/>
                <w:color w:val="FFFFFF" w:themeColor="background1"/>
              </w:rPr>
            </w:pPr>
          </w:p>
        </w:tc>
      </w:tr>
    </w:tbl>
    <w:p w14:paraId="7206D0AD" w14:textId="77777777" w:rsidR="009B1037" w:rsidRDefault="009B1037" w:rsidP="00C51085">
      <w:pPr>
        <w:spacing w:line="360" w:lineRule="auto"/>
        <w:jc w:val="both"/>
      </w:pPr>
    </w:p>
    <w:p w14:paraId="75B05CF4" w14:textId="1788357E" w:rsidR="009B1037" w:rsidRDefault="009B1037" w:rsidP="00C51085">
      <w:pPr>
        <w:spacing w:line="360" w:lineRule="auto"/>
        <w:jc w:val="both"/>
      </w:pPr>
      <w:r>
        <w:rPr>
          <w:noProof/>
          <w:lang w:eastAsia="pl-PL"/>
        </w:rPr>
        <w:drawing>
          <wp:inline distT="0" distB="0" distL="0" distR="0" wp14:anchorId="5F78ECA7" wp14:editId="568CD14B">
            <wp:extent cx="5760720" cy="2473325"/>
            <wp:effectExtent l="38100" t="0" r="30480" b="0"/>
            <wp:docPr id="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7445D058" w14:textId="2ECB371B" w:rsidR="005A3CC4" w:rsidRDefault="008B650C" w:rsidP="008B650C">
      <w:pPr>
        <w:spacing w:before="240" w:line="360" w:lineRule="auto"/>
        <w:jc w:val="both"/>
      </w:pPr>
      <w:r>
        <w:t xml:space="preserve">Położenie OF Olkusza z jednej strony stanowi mocną stronę Obszaru, jednak z drugiej konkurencyjność większych ośrodków (Katowic i Krakowa) nieco ogranicza jego możliwości rozwojowe. </w:t>
      </w:r>
      <w:r w:rsidR="007A287A">
        <w:t>Dotyczy to </w:t>
      </w:r>
      <w:r w:rsidR="00254789">
        <w:t>przede wszystkim zjawiska „drenażu mózgów” – sytuacji, kiedy młodzi ludzie decydują się na podjęcie studiów w miastach uniwersyteckich, a po zdobyciu wykształcenia nie wracają do rodzinnych miejscowości. W ostatnich latach zarówno w OF Olkusza, jak i innych ośrodkach osiedleńczych w kraju zauważa się postępujące zmiany w strukturze demograficznej –</w:t>
      </w:r>
      <w:r w:rsidR="001A667F">
        <w:t xml:space="preserve"> mimo że</w:t>
      </w:r>
      <w:r w:rsidR="00254789">
        <w:t xml:space="preserve"> zwiększający się odsetek seniorów w populacji </w:t>
      </w:r>
      <w:r w:rsidR="001A667F">
        <w:t xml:space="preserve">nie </w:t>
      </w:r>
      <w:r w:rsidR="00254789">
        <w:t xml:space="preserve">jest </w:t>
      </w:r>
      <w:r w:rsidR="001A667F">
        <w:t xml:space="preserve">wyłącznie </w:t>
      </w:r>
      <w:r w:rsidR="00254789">
        <w:t xml:space="preserve">wynikiem </w:t>
      </w:r>
      <w:r w:rsidR="001A667F">
        <w:t>migracji młodych osób, to zjawisko to w dużej mierze warunkuje obecną sytuację demograficzną, nie tylko przekładając się na ujemną wartość wskaźnika salda migracji, ale również pośrednio na ujemne wartości przyrostu naturalnego.</w:t>
      </w:r>
    </w:p>
    <w:p w14:paraId="68A7432D" w14:textId="740E8502" w:rsidR="00DC6F9E" w:rsidRDefault="006F6E60" w:rsidP="008F3D0B">
      <w:pPr>
        <w:spacing w:before="240" w:line="360" w:lineRule="auto"/>
        <w:jc w:val="both"/>
      </w:pPr>
      <w:r>
        <w:t xml:space="preserve">Zmniejszająca się liczba mieszkańców obszaru funkcjonalnego wynikać może również z niekorzystnej sytuacji na lokalnym rynku pracy (np. niska dostępność miejsc pracy odpowiadających oczekiwaniom mieszkańców) czy </w:t>
      </w:r>
      <w:r w:rsidR="00AC322F">
        <w:t>niedostatecznej</w:t>
      </w:r>
      <w:r>
        <w:t xml:space="preserve"> atrakcyjności osiedleńczej. </w:t>
      </w:r>
      <w:r w:rsidR="00AC322F">
        <w:t>Wspólnym dla gmin OF Olkusza problemem zidentyfikowanym na drodze diagnozy jest m.in. ograniczona oferta kulturalna. Obecnie funkcje kulturalne Obszaru skupiają się w jego rdzeniu, tj. Olkuszu, natomiast w pozostałych gminach widoczny jest deficyt związany często ze złym stanem technicznym infrastruktury kultury</w:t>
      </w:r>
      <w:r w:rsidR="00A84A68">
        <w:t xml:space="preserve"> oraz brakiem odpowiedniego wyposażenia</w:t>
      </w:r>
      <w:r w:rsidR="00AC322F">
        <w:t xml:space="preserve">. </w:t>
      </w:r>
      <w:r w:rsidR="00A84A68">
        <w:t xml:space="preserve">Z analizy deficytów i potrzeb w zakresie kultury przeprowadzonej na potrzeby strategii wynika, iż widoczne jest to m.in. w przypadku </w:t>
      </w:r>
      <w:r w:rsidR="00A84A68" w:rsidRPr="00A84A68">
        <w:t>Domu Kultury „Papiernik” w Kluczach</w:t>
      </w:r>
      <w:r w:rsidR="00A84A68">
        <w:t xml:space="preserve">, którego potencjał nie jest wystarczająco wykorzystywany, mimo przebytej w ostatnich latach modernizacji. </w:t>
      </w:r>
      <w:r w:rsidR="007346A9">
        <w:t xml:space="preserve"> </w:t>
      </w:r>
      <w:r w:rsidR="00B84A2C">
        <w:t>Ponadto, istotną potrzebą rozwojową OF jest zintegrowanie oferty, zarówno kulturalnej, jak i turystycznej. Partnerskie gminy dysponują ogromnym potencjałem, który może zostać wykorzystany do poprawy sytuacji społeczno-gospodarczej poprzez rozwijanie i promowanie walorów historyczno-kulturowych i przyrodniczo-krajobrazowych oraz budowanie na ich podstawie tożsamości lokalnej mieszkańców i ich przywiązania do swojego miejsca zamieszkania, a także wykorzystanie tych zasobów do wzmacniania funkcji turystycznych Obszaru.</w:t>
      </w:r>
      <w:r w:rsidR="008F3D0B">
        <w:t xml:space="preserve"> </w:t>
      </w:r>
      <w:r w:rsidR="002A3DE0">
        <w:t xml:space="preserve">Obecnie potencjał ten nie jest dostatecznie wykorzystywany – mimo istniejącej bazy infrastruktury rekreacyjno-sportowej (np. w postaci </w:t>
      </w:r>
      <w:r w:rsidR="002A3DE0" w:rsidRPr="002A3DE0">
        <w:t>Park</w:t>
      </w:r>
      <w:r w:rsidR="002A3DE0">
        <w:t>u Rekreacyjno-Krajobrazowego</w:t>
      </w:r>
      <w:r w:rsidR="002A3DE0" w:rsidRPr="002A3DE0">
        <w:t xml:space="preserve"> "Silver Park" w Olkuszu</w:t>
      </w:r>
      <w:r w:rsidR="002A3DE0">
        <w:t>), nie jest ona zintegrowana i nie tworzy spójnej, konsekwentnie rozwijanej oferty.</w:t>
      </w:r>
      <w:r w:rsidR="00F25E58">
        <w:t xml:space="preserve"> </w:t>
      </w:r>
      <w:r w:rsidR="00340506" w:rsidRPr="00340506">
        <w:t>Nie jest także w dostatecznym stopniu wykorzystany potencjał oparty o dziedzictwo górnictwa kruszcowego, brak</w:t>
      </w:r>
      <w:r w:rsidR="00340506">
        <w:t>uje</w:t>
      </w:r>
      <w:r w:rsidR="00340506" w:rsidRPr="00340506">
        <w:t xml:space="preserve"> spójnej oferty np. szlaku kulturowego, bądź pieszego, czy rowerowego. W niewielkim stopniu wykorzystany jest także potencjał, jaki daje sieciowanie obiektów turystycznych (ws</w:t>
      </w:r>
      <w:r w:rsidR="00340506">
        <w:t xml:space="preserve">pólny bilet, wzajemna promocja) partnerskich gmin. </w:t>
      </w:r>
      <w:r w:rsidR="00DC6F9E">
        <w:t xml:space="preserve">Być może to właśnie te aspekty implikują fakt, iż mimo wysokiego natężenia ruchu turystycznego w OF, nie stanowi on obecnie przewagi konkurencyjnej ze względu na </w:t>
      </w:r>
      <w:r w:rsidR="00DC6F9E" w:rsidRPr="00DC6F9E">
        <w:t>wysoki udział odwiedzających jednodniow</w:t>
      </w:r>
      <w:r w:rsidR="00DC6F9E">
        <w:t>ych w strukturze turystów.</w:t>
      </w:r>
      <w:r w:rsidR="00B76DC7">
        <w:t xml:space="preserve"> Dywersyfikacja oferty turystycznej i intensyfikacja jej promocji mogłaby stanowić element wpływający na wydłużenie czasu pobytu turystów na terenie OF Olkusza.</w:t>
      </w:r>
    </w:p>
    <w:p w14:paraId="5C757738" w14:textId="7007CA27" w:rsidR="00361951" w:rsidRDefault="00361951" w:rsidP="008F3D0B">
      <w:pPr>
        <w:spacing w:before="240" w:line="360" w:lineRule="auto"/>
        <w:jc w:val="both"/>
      </w:pPr>
      <w:r w:rsidRPr="00361951">
        <w:t xml:space="preserve">Istotnym deficytem w ofercie turystycznej </w:t>
      </w:r>
      <w:r>
        <w:t>OF Olkusza jest brak ciągłości linio</w:t>
      </w:r>
      <w:r w:rsidR="008F0FF0">
        <w:t>wej infrastruktury turystycznej</w:t>
      </w:r>
      <w:r>
        <w:t xml:space="preserve">. </w:t>
      </w:r>
      <w:r w:rsidR="008F0FF0">
        <w:t>Mimo przebiegu w obrębie OF wielu szlaków i tras rowerowych, nie tworzą one spójnej sieci umożliwiającej sprawne zwiedzanie Obszaru na rowerze</w:t>
      </w:r>
      <w:r w:rsidR="0036331E">
        <w:t xml:space="preserve"> czy w innej formie</w:t>
      </w:r>
      <w:r w:rsidR="008F0FF0">
        <w:t>. Brakuje również infrastruktury towarzyszącej w postaci miejsc obsługi rowerzystów, miejsc odpoczynku czy miejsc ładowania rowerów elektrycznych.</w:t>
      </w:r>
      <w:r w:rsidR="009A77B9">
        <w:t xml:space="preserve"> Najlepiej </w:t>
      </w:r>
      <w:r w:rsidR="009F4EAB">
        <w:t xml:space="preserve">pod tym kątem </w:t>
      </w:r>
      <w:r w:rsidR="009A77B9">
        <w:t>wyposażo</w:t>
      </w:r>
      <w:r w:rsidR="00B83C8E">
        <w:t>ny j</w:t>
      </w:r>
      <w:r w:rsidR="009A77B9">
        <w:t>est teren gminy Olkusz, gdzie funkcjonuje</w:t>
      </w:r>
      <w:r w:rsidR="009A77B9" w:rsidRPr="009A77B9">
        <w:t xml:space="preserve"> około 120 miejsc postojowych dla row</w:t>
      </w:r>
      <w:r w:rsidR="009A77B9">
        <w:t xml:space="preserve">erów (większość z nich znajduje się w części miejskiej oraz </w:t>
      </w:r>
      <w:r w:rsidR="0036331E">
        <w:t xml:space="preserve">przy </w:t>
      </w:r>
      <w:r w:rsidR="009A77B9">
        <w:t>głównych atrakc</w:t>
      </w:r>
      <w:r w:rsidR="009F4EAB">
        <w:t xml:space="preserve">jach takich jak Zamek Rabsztyn), natomiast w pozostałych gminach identyfikuje się znaczną potrzebę </w:t>
      </w:r>
      <w:r w:rsidR="00744A2E">
        <w:t>rozwoju tego typu infrastruktury</w:t>
      </w:r>
      <w:r w:rsidR="009F4EAB">
        <w:t xml:space="preserve">. </w:t>
      </w:r>
    </w:p>
    <w:p w14:paraId="68E4C0AF" w14:textId="4B7D160A" w:rsidR="00361951" w:rsidRDefault="00361951" w:rsidP="008F3D0B">
      <w:pPr>
        <w:spacing w:before="240" w:line="360" w:lineRule="auto"/>
        <w:jc w:val="both"/>
      </w:pPr>
      <w:r>
        <w:t xml:space="preserve">W OF brakuje również </w:t>
      </w:r>
      <w:r w:rsidRPr="00361951">
        <w:t xml:space="preserve">miejsca/obiektu prezentującego i promującego niematerialne dziedzictwo kulturowe </w:t>
      </w:r>
      <w:r>
        <w:t>Obszaru</w:t>
      </w:r>
      <w:r w:rsidRPr="00361951">
        <w:t xml:space="preserve"> oraz Małopolski Zachodniej. W obecnych czasach istnieje ogromna potrzeba tworzenia takich miejsc i jednocześnie popyt na takie usługi um</w:t>
      </w:r>
      <w:r w:rsidR="009B1037">
        <w:t>ożliwiające zaznajomienie się z </w:t>
      </w:r>
      <w:r w:rsidRPr="00361951">
        <w:t xml:space="preserve">rękodziełem, ludowymi praktykami, zwyczajami, obrzędami, przekazami, umiejętnościami oraz związanymi z nimi instrumentami, przedmiotami, artefaktami i przestrzenią kulturową. </w:t>
      </w:r>
      <w:r w:rsidR="00DA6CC7">
        <w:t xml:space="preserve">Na najbliższe lata plany w tym zakresie posiada Gmina Klucze, która przygotowuje przedsięwzięcie polegające na stworzeniu </w:t>
      </w:r>
      <w:r w:rsidR="00DA6CC7" w:rsidRPr="00DA6CC7">
        <w:t>interaktywnej ekspozycji muzealnej i aranżacji wnętrza kilku sal Dworku Dietla</w:t>
      </w:r>
      <w:r w:rsidR="009B1037">
        <w:t>. W </w:t>
      </w:r>
      <w:r w:rsidR="00DA6CC7">
        <w:t xml:space="preserve">założeniu, do 2026 r. w gminie powstanie </w:t>
      </w:r>
      <w:r w:rsidR="00DA6CC7" w:rsidRPr="00DA6CC7">
        <w:t>obiekt o charakterze nowoczesnego muzeum h</w:t>
      </w:r>
      <w:r w:rsidR="009B1037">
        <w:t>istorii i </w:t>
      </w:r>
      <w:r w:rsidR="00DA6CC7">
        <w:t>lokalnego dziedzictwa, do czego zostanie wykorzystany i odpowiednio dostosowany Dworek</w:t>
      </w:r>
      <w:r w:rsidR="009B1037">
        <w:t xml:space="preserve"> Dietla w </w:t>
      </w:r>
      <w:r w:rsidR="00DA6CC7" w:rsidRPr="00DA6CC7">
        <w:t>Kluczach</w:t>
      </w:r>
      <w:r w:rsidR="00DA6CC7">
        <w:t>.</w:t>
      </w:r>
      <w:r w:rsidR="00E13F0B">
        <w:t xml:space="preserve"> </w:t>
      </w:r>
    </w:p>
    <w:p w14:paraId="31FC23E7" w14:textId="77777777" w:rsidR="009B1037" w:rsidRDefault="009B1037" w:rsidP="009F2E80">
      <w:pPr>
        <w:pStyle w:val="Nagwek1"/>
      </w:pPr>
      <w:r>
        <w:br w:type="page"/>
      </w:r>
    </w:p>
    <w:p w14:paraId="24BDED2D" w14:textId="12E33886" w:rsidR="009F2E80" w:rsidRDefault="00A22821" w:rsidP="009F2E80">
      <w:pPr>
        <w:pStyle w:val="Nagwek1"/>
      </w:pPr>
      <w:bookmarkStart w:id="13" w:name="_Toc181691576"/>
      <w:r>
        <w:t xml:space="preserve">2. </w:t>
      </w:r>
      <w:r w:rsidR="009F2E80">
        <w:t>Poziom strategiczny</w:t>
      </w:r>
      <w:bookmarkEnd w:id="13"/>
    </w:p>
    <w:p w14:paraId="2540A4C0" w14:textId="02DF806B" w:rsidR="009F2E80" w:rsidRDefault="009B1037" w:rsidP="009B1037">
      <w:pPr>
        <w:pStyle w:val="Nagwek2"/>
      </w:pPr>
      <w:bookmarkStart w:id="14" w:name="_Toc181691577"/>
      <w:r>
        <w:t xml:space="preserve">2.1 </w:t>
      </w:r>
      <w:r w:rsidR="009F2E80" w:rsidRPr="009B1037">
        <w:t>Założenia</w:t>
      </w:r>
      <w:r w:rsidR="009F2E80">
        <w:t xml:space="preserve"> rozwojowe</w:t>
      </w:r>
      <w:bookmarkEnd w:id="14"/>
    </w:p>
    <w:p w14:paraId="59536F17" w14:textId="2EF6059E" w:rsidR="00167824" w:rsidRDefault="00167824" w:rsidP="009B1037">
      <w:pPr>
        <w:spacing w:after="0" w:line="360" w:lineRule="auto"/>
        <w:jc w:val="both"/>
      </w:pPr>
      <w:r w:rsidRPr="00860F09">
        <w:t xml:space="preserve">Założenia rozwojowe Strategii </w:t>
      </w:r>
      <w:r>
        <w:t>IIT opierają się na obszarach</w:t>
      </w:r>
      <w:r w:rsidRPr="00860F09">
        <w:t xml:space="preserve"> wsparcia realizowanych w ramach mechanizmu </w:t>
      </w:r>
      <w:r>
        <w:t>Innych Inwestycji Terytorialnych (I</w:t>
      </w:r>
      <w:r w:rsidRPr="00860F09">
        <w:t xml:space="preserve">IT), które </w:t>
      </w:r>
      <w:r>
        <w:t>wdrażane są</w:t>
      </w:r>
      <w:r w:rsidRPr="00860F09">
        <w:t xml:space="preserve"> w województwie małopolskim.</w:t>
      </w:r>
      <w:r>
        <w:t xml:space="preserve"> </w:t>
      </w:r>
      <w:r w:rsidRPr="00C26DDB">
        <w:t>Zgodnie z założeniami FEM 2021-2027, z wykorzystaniem IIT wspie</w:t>
      </w:r>
      <w:r w:rsidR="009B1037">
        <w:t>rana będzie interwencja m.in. w </w:t>
      </w:r>
      <w:r w:rsidRPr="00C26DDB">
        <w:t xml:space="preserve">ramach celu szczegółowego 5(i) </w:t>
      </w:r>
      <w:r w:rsidRPr="00C26DDB">
        <w:rPr>
          <w:i/>
        </w:rPr>
        <w:t>wspieranie zintegrowanego i sprzyjającego włączeniu społecznemu rozwoju społecznego, gospodarczego</w:t>
      </w:r>
      <w:r w:rsidRPr="006D35E0">
        <w:rPr>
          <w:i/>
        </w:rPr>
        <w:t xml:space="preserve"> i środowiskowego, kultury, dziedzictwa naturalnego, zrównoważonej turystyki i bezpieczeństwa na obszarach miejskich</w:t>
      </w:r>
      <w:r>
        <w:rPr>
          <w:i/>
        </w:rPr>
        <w:t xml:space="preserve">. </w:t>
      </w:r>
      <w:r>
        <w:t>Ma ona na celu zwiększanie wpływu wspólnot lokalnych głównie na rozwój obszarów miejskich (w tym obszarów miejsko-wiejskich, obszarów wiejskich ujętych w strategii IIT). Zgodnie z założeniami, za przygotowanie strategii IIT odpowiedzialne będą:</w:t>
      </w:r>
    </w:p>
    <w:p w14:paraId="70D99B38" w14:textId="23FDE040" w:rsidR="00167824" w:rsidRDefault="00167824" w:rsidP="00167824">
      <w:pPr>
        <w:pStyle w:val="Akapitzlist"/>
        <w:numPr>
          <w:ilvl w:val="0"/>
          <w:numId w:val="1"/>
        </w:numPr>
        <w:spacing w:line="360" w:lineRule="auto"/>
        <w:jc w:val="both"/>
      </w:pPr>
      <w:r>
        <w:t>3 miasta - Oświęcim, Bochnia, Olkusz – wraz z ich obszarami funkcjonalnymi (obszarami wiejskimi i miejsko-wiejskimi ujętymi w strategii IIT) - w ramach tych strategii nie będą mogły znaleźć się projekty, zlokalizowane na terenie gmin wchodzących w skład związków ZIT oraz innych IIT (za wyjątkiem miast objętych programem rewitalizacji),</w:t>
      </w:r>
    </w:p>
    <w:p w14:paraId="6724B9B0" w14:textId="77777777" w:rsidR="00167824" w:rsidRPr="005D3B3B" w:rsidRDefault="00167824" w:rsidP="00167824">
      <w:pPr>
        <w:pStyle w:val="Akapitzlist"/>
        <w:numPr>
          <w:ilvl w:val="0"/>
          <w:numId w:val="1"/>
        </w:numPr>
        <w:spacing w:line="360" w:lineRule="auto"/>
        <w:jc w:val="both"/>
      </w:pPr>
      <w:r>
        <w:t>3 Partnerstwa CWD (pilotaż Centrum Wsparcia Doradczego): Stowarzyszenie Samorządów Powiatu Dąbrowskiego, Związek Gmin Krynicko-Popradzkich, Partnerstwo Miast i Gmin Powiatu Limanowskiego.</w:t>
      </w:r>
    </w:p>
    <w:p w14:paraId="1DF791A6" w14:textId="77777777" w:rsidR="00183B59" w:rsidRDefault="00183B59" w:rsidP="00183B59">
      <w:pPr>
        <w:spacing w:line="360" w:lineRule="auto"/>
        <w:jc w:val="both"/>
      </w:pPr>
      <w:r>
        <w:t xml:space="preserve">W odniesieniu do IIT, w </w:t>
      </w:r>
      <w:r w:rsidRPr="00C26DDB">
        <w:t>FEM 2021-2027</w:t>
      </w:r>
      <w:r>
        <w:t xml:space="preserve"> w ramach celu szczegółowego 5(i) przewidziano wsparcie w działaniach i typach przedstawionych poniżej.</w:t>
      </w:r>
    </w:p>
    <w:tbl>
      <w:tblPr>
        <w:tblStyle w:val="Tabela-Siatka"/>
        <w:tblW w:w="0" w:type="auto"/>
        <w:tblBorders>
          <w:top w:val="none" w:sz="0" w:space="0" w:color="auto"/>
          <w:left w:val="none" w:sz="0" w:space="0" w:color="auto"/>
          <w:bottom w:val="single" w:sz="4" w:space="0" w:color="7F7F7F" w:themeColor="text1" w:themeTint="80"/>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3397"/>
        <w:gridCol w:w="5665"/>
      </w:tblGrid>
      <w:tr w:rsidR="00183B59" w14:paraId="7ECE4194" w14:textId="77777777" w:rsidTr="002044BE">
        <w:tc>
          <w:tcPr>
            <w:tcW w:w="3397" w:type="dxa"/>
            <w:shd w:val="clear" w:color="auto" w:fill="D4EAF3" w:themeFill="accent1" w:themeFillTint="33"/>
            <w:vAlign w:val="center"/>
          </w:tcPr>
          <w:p w14:paraId="3D9B4A99" w14:textId="77777777" w:rsidR="00183B59" w:rsidRDefault="00183B59" w:rsidP="002044BE">
            <w:pPr>
              <w:spacing w:before="120" w:after="120"/>
              <w:jc w:val="center"/>
            </w:pPr>
            <w:r>
              <w:t>Działanie</w:t>
            </w:r>
          </w:p>
        </w:tc>
        <w:tc>
          <w:tcPr>
            <w:tcW w:w="5665" w:type="dxa"/>
            <w:shd w:val="clear" w:color="auto" w:fill="D4EAF3" w:themeFill="accent1" w:themeFillTint="33"/>
            <w:vAlign w:val="center"/>
          </w:tcPr>
          <w:p w14:paraId="09899964" w14:textId="77777777" w:rsidR="00183B59" w:rsidRPr="003B0C3D" w:rsidRDefault="00183B59" w:rsidP="002044BE">
            <w:pPr>
              <w:spacing w:before="120" w:after="120"/>
              <w:jc w:val="center"/>
            </w:pPr>
            <w:r>
              <w:t>Typy projektu</w:t>
            </w:r>
          </w:p>
        </w:tc>
      </w:tr>
      <w:tr w:rsidR="00183B59" w14:paraId="45F0EAC6" w14:textId="77777777" w:rsidTr="002044BE">
        <w:tc>
          <w:tcPr>
            <w:tcW w:w="3397" w:type="dxa"/>
            <w:vMerge w:val="restart"/>
            <w:vAlign w:val="center"/>
          </w:tcPr>
          <w:p w14:paraId="49B6CA12" w14:textId="77777777" w:rsidR="00183B59" w:rsidRDefault="00183B59" w:rsidP="002044BE">
            <w:pPr>
              <w:spacing w:before="120" w:after="120"/>
            </w:pPr>
            <w:r w:rsidRPr="00516AA5">
              <w:t>FEMP.07.01 IIT - Wsparcie oddolnych inicjatyw na obszarach miejskich</w:t>
            </w:r>
          </w:p>
        </w:tc>
        <w:tc>
          <w:tcPr>
            <w:tcW w:w="5665" w:type="dxa"/>
            <w:vAlign w:val="center"/>
          </w:tcPr>
          <w:p w14:paraId="0472DF65" w14:textId="77777777" w:rsidR="00183B59" w:rsidRDefault="00183B59" w:rsidP="002044BE">
            <w:pPr>
              <w:spacing w:before="120" w:after="120"/>
            </w:pPr>
            <w:r>
              <w:t>A. INFRASTRUKTURA KULTURY</w:t>
            </w:r>
          </w:p>
        </w:tc>
      </w:tr>
      <w:tr w:rsidR="00183B59" w14:paraId="6709B117" w14:textId="77777777" w:rsidTr="002044BE">
        <w:tc>
          <w:tcPr>
            <w:tcW w:w="3397" w:type="dxa"/>
            <w:vMerge/>
            <w:vAlign w:val="center"/>
          </w:tcPr>
          <w:p w14:paraId="466B99E7" w14:textId="77777777" w:rsidR="00183B59" w:rsidRDefault="00183B59" w:rsidP="002044BE">
            <w:pPr>
              <w:spacing w:before="120" w:after="120"/>
            </w:pPr>
          </w:p>
        </w:tc>
        <w:tc>
          <w:tcPr>
            <w:tcW w:w="5665" w:type="dxa"/>
            <w:vAlign w:val="center"/>
          </w:tcPr>
          <w:p w14:paraId="28FC02F1" w14:textId="77777777" w:rsidR="00183B59" w:rsidRDefault="00183B59" w:rsidP="002044BE">
            <w:pPr>
              <w:spacing w:before="120" w:after="120"/>
            </w:pPr>
            <w:r w:rsidRPr="003B0C3D">
              <w:t>B. OCHRONA I OPIEKA NAD ZABYTKAM</w:t>
            </w:r>
            <w:r>
              <w:t>I</w:t>
            </w:r>
          </w:p>
        </w:tc>
      </w:tr>
      <w:tr w:rsidR="00183B59" w14:paraId="442E91D1" w14:textId="77777777" w:rsidTr="002044BE">
        <w:tc>
          <w:tcPr>
            <w:tcW w:w="3397" w:type="dxa"/>
            <w:vMerge/>
            <w:vAlign w:val="center"/>
          </w:tcPr>
          <w:p w14:paraId="79DB9B84" w14:textId="77777777" w:rsidR="00183B59" w:rsidRDefault="00183B59" w:rsidP="002044BE">
            <w:pPr>
              <w:spacing w:before="120" w:after="120"/>
            </w:pPr>
          </w:p>
        </w:tc>
        <w:tc>
          <w:tcPr>
            <w:tcW w:w="5665" w:type="dxa"/>
            <w:vAlign w:val="center"/>
          </w:tcPr>
          <w:p w14:paraId="78EA00D3" w14:textId="77777777" w:rsidR="00183B59" w:rsidRDefault="00183B59" w:rsidP="002044BE">
            <w:pPr>
              <w:spacing w:before="120" w:after="120"/>
            </w:pPr>
            <w:r w:rsidRPr="003B0C3D">
              <w:t>C. OFERTA TURYSTYCZNA</w:t>
            </w:r>
          </w:p>
        </w:tc>
      </w:tr>
      <w:tr w:rsidR="00183B59" w14:paraId="7A1A547C" w14:textId="77777777" w:rsidTr="002044BE">
        <w:tc>
          <w:tcPr>
            <w:tcW w:w="3397" w:type="dxa"/>
            <w:vMerge/>
            <w:vAlign w:val="center"/>
          </w:tcPr>
          <w:p w14:paraId="499CDFCF" w14:textId="77777777" w:rsidR="00183B59" w:rsidRDefault="00183B59" w:rsidP="002044BE">
            <w:pPr>
              <w:spacing w:before="120" w:after="120"/>
            </w:pPr>
          </w:p>
        </w:tc>
        <w:tc>
          <w:tcPr>
            <w:tcW w:w="5665" w:type="dxa"/>
            <w:vAlign w:val="center"/>
          </w:tcPr>
          <w:p w14:paraId="2242DCB8" w14:textId="77777777" w:rsidR="00183B59" w:rsidRDefault="00183B59" w:rsidP="002044BE">
            <w:pPr>
              <w:spacing w:before="120" w:after="120"/>
            </w:pPr>
            <w:r w:rsidRPr="003B0C3D">
              <w:t>D. TRASY TURYSTYCZNE</w:t>
            </w:r>
          </w:p>
        </w:tc>
      </w:tr>
      <w:tr w:rsidR="00183B59" w14:paraId="618AE367" w14:textId="77777777" w:rsidTr="002044BE">
        <w:tc>
          <w:tcPr>
            <w:tcW w:w="3397" w:type="dxa"/>
            <w:vAlign w:val="center"/>
          </w:tcPr>
          <w:p w14:paraId="5F280A7D" w14:textId="77777777" w:rsidR="00183B59" w:rsidRDefault="00183B59" w:rsidP="002044BE">
            <w:pPr>
              <w:spacing w:before="120" w:after="120"/>
            </w:pPr>
            <w:r w:rsidRPr="00516AA5">
              <w:t>FEMP.07.03 IIT - Tereny inwestycyjne</w:t>
            </w:r>
          </w:p>
        </w:tc>
        <w:tc>
          <w:tcPr>
            <w:tcW w:w="5665" w:type="dxa"/>
            <w:vAlign w:val="center"/>
          </w:tcPr>
          <w:p w14:paraId="1E27378D" w14:textId="77777777" w:rsidR="00183B59" w:rsidRDefault="00183B59" w:rsidP="002044BE">
            <w:pPr>
              <w:spacing w:before="120" w:after="120"/>
            </w:pPr>
            <w:r w:rsidRPr="00516AA5">
              <w:t>A. TERENY INWESTYCYJNE</w:t>
            </w:r>
          </w:p>
        </w:tc>
      </w:tr>
      <w:tr w:rsidR="00183B59" w14:paraId="2816876D" w14:textId="77777777" w:rsidTr="002044BE">
        <w:tc>
          <w:tcPr>
            <w:tcW w:w="3397" w:type="dxa"/>
            <w:vAlign w:val="center"/>
          </w:tcPr>
          <w:p w14:paraId="2842D5B0" w14:textId="77777777" w:rsidR="00183B59" w:rsidRPr="00516AA5" w:rsidRDefault="00183B59" w:rsidP="002044BE">
            <w:pPr>
              <w:spacing w:before="120" w:after="120"/>
            </w:pPr>
            <w:r w:rsidRPr="00516AA5">
              <w:t>FEMP.07.04 IIT- Rewitalizacja</w:t>
            </w:r>
          </w:p>
        </w:tc>
        <w:tc>
          <w:tcPr>
            <w:tcW w:w="5665" w:type="dxa"/>
            <w:vAlign w:val="center"/>
          </w:tcPr>
          <w:p w14:paraId="270C90AA" w14:textId="77777777" w:rsidR="00183B59" w:rsidRPr="00516AA5" w:rsidRDefault="00183B59" w:rsidP="002044BE">
            <w:pPr>
              <w:spacing w:before="120" w:after="120"/>
            </w:pPr>
            <w:r w:rsidRPr="00516AA5">
              <w:t>A. ODNOWA MIAST</w:t>
            </w:r>
          </w:p>
        </w:tc>
      </w:tr>
      <w:tr w:rsidR="00183B59" w14:paraId="79732958" w14:textId="77777777" w:rsidTr="002044BE">
        <w:tc>
          <w:tcPr>
            <w:tcW w:w="3397" w:type="dxa"/>
            <w:vAlign w:val="center"/>
          </w:tcPr>
          <w:p w14:paraId="035626E2" w14:textId="77777777" w:rsidR="00183B59" w:rsidRPr="00516AA5" w:rsidRDefault="00183B59" w:rsidP="002044BE">
            <w:pPr>
              <w:spacing w:before="120" w:after="120"/>
            </w:pPr>
            <w:r w:rsidRPr="00516AA5">
              <w:t>FEMP.07.05 IIT- Obszary uzdrowiskowe</w:t>
            </w:r>
          </w:p>
        </w:tc>
        <w:tc>
          <w:tcPr>
            <w:tcW w:w="5665" w:type="dxa"/>
            <w:vAlign w:val="center"/>
          </w:tcPr>
          <w:p w14:paraId="1B1E6E1E" w14:textId="77777777" w:rsidR="00183B59" w:rsidRPr="00516AA5" w:rsidRDefault="00183B59" w:rsidP="002044BE">
            <w:pPr>
              <w:spacing w:before="120" w:after="120"/>
            </w:pPr>
            <w:r w:rsidRPr="00516AA5">
              <w:t>A. WSPARCIE OBSZARÓW UZDROWISKOWYCH</w:t>
            </w:r>
          </w:p>
        </w:tc>
      </w:tr>
    </w:tbl>
    <w:p w14:paraId="52061ADD" w14:textId="72D848C1" w:rsidR="00183B59" w:rsidRDefault="00183B59" w:rsidP="00183B59">
      <w:pPr>
        <w:spacing w:before="240" w:line="360" w:lineRule="auto"/>
        <w:jc w:val="both"/>
      </w:pPr>
      <w:r>
        <w:t>Ze względu na charakter obszaru funkcjonalnego Olkusza i założen</w:t>
      </w:r>
      <w:r w:rsidR="004B6174">
        <w:t>ia dotyczące zakresu wsparcia w </w:t>
      </w:r>
      <w:r>
        <w:t>ramach poszczególnych typów projektów, w ramach niniejszej Strategii IIT zaplanowano interwencję wpisującą się w działanie 7.01.</w:t>
      </w:r>
    </w:p>
    <w:p w14:paraId="4F4180E7" w14:textId="65DC52BB" w:rsidR="00183B59" w:rsidRDefault="00183B59" w:rsidP="00183B59">
      <w:pPr>
        <w:spacing w:line="360" w:lineRule="auto"/>
        <w:jc w:val="both"/>
      </w:pPr>
      <w:r>
        <w:t>Ponadto, dla wypracowania interwencji w ramach IIT szczególne znaczenie miały kluczowe problemy i </w:t>
      </w:r>
      <w:r w:rsidRPr="00536A96">
        <w:t>wyzwania rozwojowe oraz potencjały sprzyjające dalszemu rozwojowi społeczno-gospodarczemu i</w:t>
      </w:r>
      <w:r>
        <w:t> </w:t>
      </w:r>
      <w:r w:rsidRPr="00536A96">
        <w:t xml:space="preserve">przestrzennemu </w:t>
      </w:r>
      <w:r>
        <w:t>gmin: Olkusz, Bolesław i Klucze</w:t>
      </w:r>
      <w:r w:rsidRPr="00536A96">
        <w:t>, zidentyfikowane n</w:t>
      </w:r>
      <w:r>
        <w:t xml:space="preserve">a drodze diagnozy strategicznej (rozdział </w:t>
      </w:r>
      <w:r w:rsidRPr="00183B59">
        <w:rPr>
          <w:i/>
        </w:rPr>
        <w:t>Synteza diagnozy obszaru realizacji IIT</w:t>
      </w:r>
      <w:r>
        <w:t>).</w:t>
      </w:r>
    </w:p>
    <w:p w14:paraId="3BFD2594" w14:textId="06B3D489" w:rsidR="009F2E80" w:rsidRDefault="003B4ACE" w:rsidP="003B4ACE">
      <w:pPr>
        <w:pStyle w:val="Nagwek2"/>
      </w:pPr>
      <w:bookmarkStart w:id="15" w:name="_Toc181691578"/>
      <w:r>
        <w:t xml:space="preserve">2.2 </w:t>
      </w:r>
      <w:r w:rsidR="009F2E80">
        <w:t>Cele strategiczne realizowane w ramach IIT</w:t>
      </w:r>
      <w:bookmarkEnd w:id="15"/>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E6F6" w:themeFill="accent6" w:themeFillTint="33"/>
        <w:tblLook w:val="04A0" w:firstRow="1" w:lastRow="0" w:firstColumn="1" w:lastColumn="0" w:noHBand="0" w:noVBand="1"/>
      </w:tblPr>
      <w:tblGrid>
        <w:gridCol w:w="9062"/>
      </w:tblGrid>
      <w:tr w:rsidR="009B1037" w:rsidRPr="004B6174" w14:paraId="3EF5BB23" w14:textId="77777777" w:rsidTr="00B35C5B">
        <w:tc>
          <w:tcPr>
            <w:tcW w:w="9062" w:type="dxa"/>
            <w:shd w:val="clear" w:color="auto" w:fill="D0E6F6" w:themeFill="accent6" w:themeFillTint="33"/>
          </w:tcPr>
          <w:p w14:paraId="04AEBF83" w14:textId="1C9E5CCA" w:rsidR="009B1037" w:rsidRPr="004B6174" w:rsidRDefault="009B1037" w:rsidP="00B35C5B">
            <w:pPr>
              <w:spacing w:before="120" w:after="120"/>
              <w:rPr>
                <w:i/>
              </w:rPr>
            </w:pPr>
            <w:r w:rsidRPr="004B6174">
              <w:rPr>
                <w:i/>
                <w:sz w:val="20"/>
              </w:rPr>
              <w:t>Rozdział wynika z art. 36 ust. 8 ustawy z dnia 28 kwietnia 2022 r. o zasadach realizacji zadań finansowanych ze środków europejskich w perspektywie finansowej 2021-2027 wskazującego, iż strategia IIT określa w szczególności m.in. cele, jakie mają być zrealizowane w ramach IIT, ze wskazaniem wykorzystanego podejścia zintegrowanego, oczekiwanych wskaźników rezultatu i produktu powiązanych z realizacją właściwego programu.</w:t>
            </w:r>
          </w:p>
        </w:tc>
      </w:tr>
    </w:tbl>
    <w:p w14:paraId="069CFF97" w14:textId="5C22EC1B" w:rsidR="00AB3878" w:rsidRDefault="009469CF" w:rsidP="009469CF">
      <w:pPr>
        <w:spacing w:before="240" w:line="360" w:lineRule="auto"/>
        <w:jc w:val="both"/>
      </w:pPr>
      <w:r w:rsidRPr="009469CF">
        <w:t xml:space="preserve">W odpowiedzi na zidentyfikowane </w:t>
      </w:r>
      <w:r>
        <w:t>w ramach</w:t>
      </w:r>
      <w:r w:rsidRPr="009469CF">
        <w:t xml:space="preserve"> diagnozy kluczowe potrzeby i wyzwania rozwojowe </w:t>
      </w:r>
      <w:r>
        <w:t>OF Olkusza</w:t>
      </w:r>
      <w:r w:rsidRPr="009469CF">
        <w:t xml:space="preserve">, wypracowano interwencję strategiczną, na którą składają się </w:t>
      </w:r>
      <w:r>
        <w:t>dwa</w:t>
      </w:r>
      <w:r w:rsidRPr="009469CF">
        <w:t xml:space="preserve"> cele strategiczne:</w:t>
      </w:r>
    </w:p>
    <w:p w14:paraId="025A817C" w14:textId="520826CC" w:rsidR="009B1037" w:rsidRDefault="0044241E" w:rsidP="009469CF">
      <w:pPr>
        <w:spacing w:before="240" w:line="360" w:lineRule="auto"/>
        <w:jc w:val="both"/>
      </w:pPr>
      <w:r>
        <w:rPr>
          <w:noProof/>
          <w:lang w:eastAsia="pl-PL"/>
        </w:rPr>
        <w:drawing>
          <wp:inline distT="0" distB="0" distL="0" distR="0" wp14:anchorId="1DC552E7" wp14:editId="056DE2A5">
            <wp:extent cx="5760326" cy="2847109"/>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hemat.png"/>
                    <pic:cNvPicPr/>
                  </pic:nvPicPr>
                  <pic:blipFill rotWithShape="1">
                    <a:blip r:embed="rId25">
                      <a:extLst>
                        <a:ext uri="{28A0092B-C50C-407E-A947-70E740481C1C}">
                          <a14:useLocalDpi xmlns:a14="http://schemas.microsoft.com/office/drawing/2010/main" val="0"/>
                        </a:ext>
                      </a:extLst>
                    </a:blip>
                    <a:srcRect t="21805" b="12293"/>
                    <a:stretch/>
                  </pic:blipFill>
                  <pic:spPr bwMode="auto">
                    <a:xfrm>
                      <a:off x="0" y="0"/>
                      <a:ext cx="5760720" cy="2847304"/>
                    </a:xfrm>
                    <a:prstGeom prst="rect">
                      <a:avLst/>
                    </a:prstGeom>
                    <a:ln>
                      <a:noFill/>
                    </a:ln>
                    <a:extLst>
                      <a:ext uri="{53640926-AAD7-44D8-BBD7-CCE9431645EC}">
                        <a14:shadowObscured xmlns:a14="http://schemas.microsoft.com/office/drawing/2010/main"/>
                      </a:ext>
                    </a:extLst>
                  </pic:spPr>
                </pic:pic>
              </a:graphicData>
            </a:graphic>
          </wp:inline>
        </w:drawing>
      </w:r>
    </w:p>
    <w:p w14:paraId="5005F89B" w14:textId="5709E5F3" w:rsidR="004B6174" w:rsidRDefault="009469CF" w:rsidP="004B6174">
      <w:pPr>
        <w:spacing w:line="360" w:lineRule="auto"/>
      </w:pPr>
      <w:r>
        <w:t>Poniżej przedstawiono charakterystykę celów IIT wraz z zakresem planowanych w ich ramach działań oraz wskazaniem podejścia zintegrowanego.</w:t>
      </w:r>
      <w:r w:rsidR="004B6174">
        <w:br w:type="page"/>
      </w:r>
    </w:p>
    <w:p w14:paraId="4D20F30D" w14:textId="1C0665B9" w:rsidR="002E67BA" w:rsidRDefault="004B6174" w:rsidP="002E67BA">
      <w:pPr>
        <w:spacing w:line="360" w:lineRule="auto"/>
        <w:jc w:val="both"/>
      </w:pPr>
      <w:r>
        <w:rPr>
          <w:noProof/>
          <w:lang w:eastAsia="pl-PL"/>
        </w:rPr>
        <w:drawing>
          <wp:anchor distT="0" distB="0" distL="114300" distR="114300" simplePos="0" relativeHeight="251661312" behindDoc="0" locked="0" layoutInCell="1" allowOverlap="1" wp14:anchorId="451AEBB9" wp14:editId="5854A78E">
            <wp:simplePos x="0" y="0"/>
            <wp:positionH relativeFrom="column">
              <wp:posOffset>-41275</wp:posOffset>
            </wp:positionH>
            <wp:positionV relativeFrom="paragraph">
              <wp:posOffset>19108</wp:posOffset>
            </wp:positionV>
            <wp:extent cx="2431415" cy="879475"/>
            <wp:effectExtent l="19050" t="19050" r="26035" b="15875"/>
            <wp:wrapSquare wrapText="bothSides"/>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hemat.png"/>
                    <pic:cNvPicPr/>
                  </pic:nvPicPr>
                  <pic:blipFill rotWithShape="1">
                    <a:blip r:embed="rId25">
                      <a:extLst>
                        <a:ext uri="{28A0092B-C50C-407E-A947-70E740481C1C}">
                          <a14:useLocalDpi xmlns:a14="http://schemas.microsoft.com/office/drawing/2010/main" val="0"/>
                        </a:ext>
                      </a:extLst>
                    </a:blip>
                    <a:srcRect l="45705" t="21805" r="12059" b="57825"/>
                    <a:stretch/>
                  </pic:blipFill>
                  <pic:spPr bwMode="auto">
                    <a:xfrm>
                      <a:off x="0" y="0"/>
                      <a:ext cx="2431415" cy="879475"/>
                    </a:xfrm>
                    <a:prstGeom prst="rect">
                      <a:avLst/>
                    </a:prstGeom>
                    <a:ln>
                      <a:solidFill>
                        <a:schemeClr val="bg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2E67BA" w:rsidRPr="00FB70B3">
        <w:t xml:space="preserve">OF Olkusza z uwagi na położenie w podregionie oświęcimskim </w:t>
      </w:r>
      <w:r w:rsidR="002E67BA">
        <w:t>województwa małopolskiego</w:t>
      </w:r>
      <w:r>
        <w:t xml:space="preserve"> wpisuje się w </w:t>
      </w:r>
      <w:r w:rsidR="002E67BA" w:rsidRPr="00FB70B3">
        <w:t xml:space="preserve">OSI Obszar Transformacji Energetycznej – Małopolska Zachodnia. Gospodarka w tym regionie oparta jest przede wszystkim na działalności dużych zakładów przemysłowych (przemysł ciężki oraz działalność górnicza). </w:t>
      </w:r>
      <w:r w:rsidR="002E67BA" w:rsidRPr="00916A49">
        <w:t xml:space="preserve">Ze względu na występujące w </w:t>
      </w:r>
      <w:r w:rsidR="002E67BA">
        <w:t>obrębie obszaru funkcjonalnego</w:t>
      </w:r>
      <w:r w:rsidR="002E67BA" w:rsidRPr="00916A49">
        <w:t xml:space="preserve"> bogactwa naturalne, jest </w:t>
      </w:r>
      <w:r w:rsidR="002E67BA">
        <w:t xml:space="preserve">on </w:t>
      </w:r>
      <w:r>
        <w:t>jednym z </w:t>
      </w:r>
      <w:r w:rsidR="002E67BA" w:rsidRPr="00916A49">
        <w:t xml:space="preserve">najstarszych ośrodków górnictwa i hutnictwa rud cynku i ołowiu w kraju. </w:t>
      </w:r>
      <w:r w:rsidR="002E67BA">
        <w:t>Obecnie jednak, ze względu na w</w:t>
      </w:r>
      <w:r w:rsidR="002E67BA" w:rsidRPr="00495EE2">
        <w:t>yczerpujące się zasoby s</w:t>
      </w:r>
      <w:r w:rsidR="002E67BA">
        <w:t xml:space="preserve">urowców mineralnych, istnieje silna </w:t>
      </w:r>
      <w:r w:rsidR="002E67BA" w:rsidRPr="00495EE2">
        <w:t xml:space="preserve">potrzeba dywersyfikacji struktury gospodarczej </w:t>
      </w:r>
      <w:r w:rsidR="002E67BA">
        <w:t xml:space="preserve">OF, </w:t>
      </w:r>
      <w:r w:rsidR="002E67BA" w:rsidRPr="00495EE2">
        <w:t xml:space="preserve">np. w kierunku turystyki, </w:t>
      </w:r>
      <w:r w:rsidR="008E34F6">
        <w:t>co jest podkreślane m.in. w S</w:t>
      </w:r>
      <w:r w:rsidR="002E67BA">
        <w:t xml:space="preserve">trategii Małopolski Zachodniej. </w:t>
      </w:r>
    </w:p>
    <w:p w14:paraId="04191870" w14:textId="45E27057" w:rsidR="002E67BA" w:rsidRDefault="002E67BA" w:rsidP="002E67BA">
      <w:pPr>
        <w:spacing w:line="360" w:lineRule="auto"/>
        <w:jc w:val="both"/>
      </w:pPr>
      <w:r w:rsidRPr="00916A49">
        <w:t>Dziedzictwo przemysłowe, tradycje górnicze są nie tylko elementem kształtującym tożsamość lokalnej społeczności, ale również czynnikiem sprzyjającym rozwojowi funkcji turystycznych obszaru.</w:t>
      </w:r>
      <w:r>
        <w:t xml:space="preserve"> Partnerskie gminy dbają o wspólne dziedzictwo i z powodzeniem wykorzystują je do promocji pod kątem turystycznym, dbając jednocześnie o zachowanie unikatowego lokalnego charakteru i ochronę cennych walorów historyczno-kulturowych. Przykładem są trasy Podziemnego Olkusza prezentujące historię górnictwa i hutnictwa na Ziemi Olkuskiej</w:t>
      </w:r>
      <w:r w:rsidR="00807386">
        <w:t>,</w:t>
      </w:r>
      <w:r>
        <w:t xml:space="preserve"> </w:t>
      </w:r>
      <w:r w:rsidRPr="00464968">
        <w:t>Srebrny szlak gwarków olkuskich</w:t>
      </w:r>
      <w:r w:rsidR="0036331E">
        <w:t xml:space="preserve"> czy wystawa pn. </w:t>
      </w:r>
      <w:r w:rsidR="00807386">
        <w:t>Kopalnia Wiedzy o Cynku przy ZGH „Bolesław”</w:t>
      </w:r>
      <w:r w:rsidR="001A7485">
        <w:t>.</w:t>
      </w:r>
      <w:r w:rsidR="00996557">
        <w:t xml:space="preserve"> Ponadto, każda z partnerskich gmin dysponuje wysokimi walorami przyrodni</w:t>
      </w:r>
      <w:r w:rsidR="004B6174">
        <w:t>czo-krajobrazowymi, co wynika z </w:t>
      </w:r>
      <w:r w:rsidR="00996557">
        <w:t>m</w:t>
      </w:r>
      <w:r w:rsidR="0036331E">
        <w:t>alowniczego położenia Obszaru w </w:t>
      </w:r>
      <w:r w:rsidR="00996557">
        <w:t>obrębie Jury Krakowsko-Częstochowskiej.</w:t>
      </w:r>
      <w:r w:rsidR="00461732">
        <w:t xml:space="preserve"> Aspekty te stanowią kluczowy czynnik sprzyjający rozwojowi funkcji turystycznych OF Olkusza.</w:t>
      </w:r>
    </w:p>
    <w:p w14:paraId="70F4EB76" w14:textId="0CF12D55" w:rsidR="004B6174" w:rsidRDefault="008150CA" w:rsidP="008150CA">
      <w:pPr>
        <w:spacing w:line="360" w:lineRule="auto"/>
        <w:jc w:val="both"/>
      </w:pPr>
      <w:r>
        <w:t xml:space="preserve">Zidentyfikowany na drodze diagnozy potencjał do wzmocnienia funkcji turystycznych OF Olkusza stanowi kluczowy kierunek jego dalszego rozwoju. </w:t>
      </w:r>
      <w:r w:rsidR="005077D2">
        <w:t xml:space="preserve">Wykorzystanie zainteresowania najważniejszymi produktami turystycznymi takimi jak Pustynia Błędowska, Zamek w Rabsztynie czy Podziemny Olkusz poprzez rozproszenie ruchu na cały Obszar umożliwi równomierny rozwój partnerskich gmin. </w:t>
      </w:r>
      <w:r w:rsidR="00A902C7">
        <w:t>Szczególną rolę odgrywa przy tym podnoszenie atrakcyjności oferty i</w:t>
      </w:r>
      <w:r w:rsidR="00A902C7" w:rsidRPr="00A902C7">
        <w:t xml:space="preserve"> </w:t>
      </w:r>
      <w:r w:rsidR="00A902C7">
        <w:t>promocja walorów przyrodniczo-krajobrazowych i historyczno-kulturowych partnerskich gmin oraz rozbudowa infrastruktury tak, aby zwiększyć możliwości aktywnego i biernego wypoczynku, co ma na celu wydłużenie pobytu turystów na terenie OF.</w:t>
      </w:r>
      <w:r w:rsidR="003061F4">
        <w:t xml:space="preserve"> Urozmaicenie oferty turystycznej i uzupełnienie jej o nowe elementy pozwoli na zatrzymanie odwiedzających na kilka dni – osoby zainteresowane lokalną historią i kulturą oraz chcące doświadczyć jak najwięcej, będą miały bowiem możliwość wyboru różnych tras i szlaków pieszo-rowerowych</w:t>
      </w:r>
      <w:r w:rsidR="0036331E">
        <w:t>,</w:t>
      </w:r>
      <w:r w:rsidR="005C427F">
        <w:t xml:space="preserve"> czy korzystania z atrakcji dopasowanych do potrzeb i oczekiwań</w:t>
      </w:r>
      <w:r w:rsidR="000F6854">
        <w:t xml:space="preserve"> reprezentantów</w:t>
      </w:r>
      <w:r w:rsidR="005C427F">
        <w:t xml:space="preserve"> różnych grup wiekowych. </w:t>
      </w:r>
      <w:r w:rsidR="001C5609">
        <w:t>Co więcej, zakłada się, że rozwój funkcji turystycznych Obszaru będzie następował zgodnie z ideą turystyki zrównoważonej, której podstawą jest minimalizowanie</w:t>
      </w:r>
      <w:r w:rsidR="001C5609" w:rsidRPr="001C5609">
        <w:t xml:space="preserve"> negatywnego wpływu turystyki na środowisko naturalne, lokalną kulturę oraz społeczność, przy jednoczesnym wykorzystaniu możliwości, jaką niesie ze sobą ruch turystyczny.</w:t>
      </w:r>
      <w:r w:rsidR="001C5609">
        <w:t xml:space="preserve"> W przypadku OF Olkusza jest to szczególnie ważne ze względu na górniczy charakter Obszaru i uwarunkowania specyficzne dla Małopolski Zachodniej.</w:t>
      </w:r>
    </w:p>
    <w:p w14:paraId="36FC0225" w14:textId="5CD7D414" w:rsidR="00E27965" w:rsidRDefault="004B6174" w:rsidP="004B6174">
      <w:pPr>
        <w:spacing w:after="120" w:line="336" w:lineRule="auto"/>
        <w:jc w:val="both"/>
      </w:pPr>
      <w:r>
        <w:rPr>
          <w:noProof/>
          <w:lang w:eastAsia="pl-PL"/>
        </w:rPr>
        <w:drawing>
          <wp:anchor distT="0" distB="0" distL="114300" distR="114300" simplePos="0" relativeHeight="251662336" behindDoc="0" locked="0" layoutInCell="1" allowOverlap="1" wp14:anchorId="4ECED3A6" wp14:editId="382D9BC0">
            <wp:simplePos x="0" y="0"/>
            <wp:positionH relativeFrom="column">
              <wp:posOffset>-80645</wp:posOffset>
            </wp:positionH>
            <wp:positionV relativeFrom="paragraph">
              <wp:posOffset>19050</wp:posOffset>
            </wp:positionV>
            <wp:extent cx="3130550" cy="1065477"/>
            <wp:effectExtent l="19050" t="19050" r="12700" b="20955"/>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hemat.png"/>
                    <pic:cNvPicPr/>
                  </pic:nvPicPr>
                  <pic:blipFill rotWithShape="1">
                    <a:blip r:embed="rId25">
                      <a:extLst>
                        <a:ext uri="{28A0092B-C50C-407E-A947-70E740481C1C}">
                          <a14:useLocalDpi xmlns:a14="http://schemas.microsoft.com/office/drawing/2010/main" val="0"/>
                        </a:ext>
                      </a:extLst>
                    </a:blip>
                    <a:srcRect l="45644" t="63041" b="12293"/>
                    <a:stretch/>
                  </pic:blipFill>
                  <pic:spPr bwMode="auto">
                    <a:xfrm>
                      <a:off x="0" y="0"/>
                      <a:ext cx="3130550" cy="1065477"/>
                    </a:xfrm>
                    <a:prstGeom prst="rect">
                      <a:avLst/>
                    </a:prstGeom>
                    <a:ln>
                      <a:solidFill>
                        <a:schemeClr val="bg1">
                          <a:lumMod val="75000"/>
                        </a:schemeClr>
                      </a:solidFill>
                    </a:ln>
                    <a:extLst>
                      <a:ext uri="{53640926-AAD7-44D8-BBD7-CCE9431645EC}">
                        <a14:shadowObscured xmlns:a14="http://schemas.microsoft.com/office/drawing/2010/main"/>
                      </a:ext>
                    </a:extLst>
                  </pic:spPr>
                </pic:pic>
              </a:graphicData>
            </a:graphic>
          </wp:anchor>
        </w:drawing>
      </w:r>
      <w:r w:rsidR="0025141C">
        <w:t>Interwencja strategiczna wypracowana w</w:t>
      </w:r>
      <w:r>
        <w:t> </w:t>
      </w:r>
      <w:r w:rsidR="002E67BA">
        <w:t>ramach 2</w:t>
      </w:r>
      <w:r w:rsidR="0025141C">
        <w:t xml:space="preserve"> celu IIT obejmuje działania ukierunkowane na rozbudowę oferty kulturalnej w OF Olkusza i zwiększenie poziomu jej dostępności. </w:t>
      </w:r>
      <w:r w:rsidR="00E27965">
        <w:t xml:space="preserve">Będzie to możliwe dzięki </w:t>
      </w:r>
      <w:r w:rsidR="00C211C2">
        <w:t xml:space="preserve">podniesieniu standardów infrastruktury kultury poprzez jej rozbudowę, przebudowę i/lub </w:t>
      </w:r>
      <w:r w:rsidR="00E27965">
        <w:t>remont</w:t>
      </w:r>
      <w:r w:rsidR="00C211C2">
        <w:t>y wraz z doposażeniem</w:t>
      </w:r>
      <w:r w:rsidR="00E27965">
        <w:t xml:space="preserve">, co stworzy warunki do rozwoju podmiotów prowadzących działalność kulturalną poprzez urozmaicenie i rozszerzenie ich oferty, a także podniesienie poziomu jej jakości. </w:t>
      </w:r>
    </w:p>
    <w:p w14:paraId="08467884" w14:textId="2B38F11B" w:rsidR="00C96CAA" w:rsidRDefault="00C96CAA" w:rsidP="004B6174">
      <w:pPr>
        <w:spacing w:after="120" w:line="336" w:lineRule="auto"/>
        <w:jc w:val="both"/>
      </w:pPr>
      <w:r>
        <w:t xml:space="preserve">Potrzeba rozwoju oferty kulturalnej </w:t>
      </w:r>
      <w:r w:rsidRPr="000515CF">
        <w:t>OF Olkusza wynika przede wszystkim z</w:t>
      </w:r>
      <w:r w:rsidR="000515CF" w:rsidRPr="000515CF">
        <w:t>e zmieniających</w:t>
      </w:r>
      <w:r w:rsidR="000515CF">
        <w:t xml:space="preserve"> się potrzeb i oczekiwań mieszkańców wobec możliwości spędzania czasu wolnego. </w:t>
      </w:r>
      <w:r w:rsidR="00184156">
        <w:t xml:space="preserve">Szczególnie dotyczy do młodzieży i dorosłych, którzy oczekują nowoczesnych rozrywek. Rozszerzenie oferty kulturalnej, uzupełnienie jej o nowe elementy i podniesienie jej jakości nie tylko </w:t>
      </w:r>
      <w:r w:rsidR="000F6E0D">
        <w:t>wpływa</w:t>
      </w:r>
      <w:r w:rsidR="00184156">
        <w:t xml:space="preserve"> jednak </w:t>
      </w:r>
      <w:r w:rsidR="000F6E0D">
        <w:t>na zadowolenie lokalnej społeczności ze swojego miejsca zamieszkania</w:t>
      </w:r>
      <w:r w:rsidR="0036331E">
        <w:t xml:space="preserve">, ale daje także </w:t>
      </w:r>
      <w:r w:rsidR="000F6E0D">
        <w:t>szerokie możliwości spędzania czasu wolnego, rozwijania talentów i umiejętności zgodnie z indywidualnymi preferencjami. Uczestnictwo w życiu kulturalnym sprzyja zacieśnianiu więzi społecznych</w:t>
      </w:r>
      <w:r w:rsidR="00946F48">
        <w:t xml:space="preserve"> i budowaniu tożsamości lokalnej poprzez integrację mieszkańców wokół wspólnego dziedzictwa kulturowego. </w:t>
      </w:r>
      <w:r w:rsidR="00DC5306">
        <w:t xml:space="preserve">Co więcej, włączanie w życie kulturalne OF mieszkańców ze wszystkich grup wiekowych i społecznych </w:t>
      </w:r>
      <w:r w:rsidR="0036331E">
        <w:t>przeciwdziała zjawisku</w:t>
      </w:r>
      <w:r w:rsidR="00DC5306">
        <w:t xml:space="preserve"> wykluczenia.</w:t>
      </w:r>
      <w:r w:rsidR="002D5E57">
        <w:t xml:space="preserve"> Z tego względu niezwykle istotne jest dostosowywanie infrastruktury kultury do potrzeb osób ze szczególnymi potrzebami oraz rozwijanie oferty kulturalnej zgodnie z oczekiwaniami i preferencjami zarówno młodszych, jak i starszych mieszkańców w celu angażowania ich w życie obszaru funkcjonalnego. </w:t>
      </w:r>
    </w:p>
    <w:p w14:paraId="071CE25D" w14:textId="6C5B5D95" w:rsidR="00ED32B6" w:rsidRDefault="00ED32B6" w:rsidP="00ED32B6">
      <w:pPr>
        <w:rPr>
          <w:b/>
        </w:rPr>
      </w:pPr>
      <w:r w:rsidRPr="00ED32B6">
        <w:rPr>
          <w:b/>
        </w:rPr>
        <w:t xml:space="preserve">Opis zintegrowania </w:t>
      </w:r>
    </w:p>
    <w:p w14:paraId="79C3EEE0" w14:textId="1835F715" w:rsidR="00FA0762" w:rsidRDefault="002520AC" w:rsidP="004B6174">
      <w:pPr>
        <w:spacing w:after="120" w:line="336" w:lineRule="auto"/>
        <w:jc w:val="both"/>
      </w:pPr>
      <w:r>
        <w:t xml:space="preserve">Cele IIT określone w Strategii są ze sobą zintegrowane i </w:t>
      </w:r>
      <w:r w:rsidR="00F468BC">
        <w:t>wzajemnie się uzupełniają</w:t>
      </w:r>
      <w:r w:rsidR="00AB6395">
        <w:t>,</w:t>
      </w:r>
      <w:r w:rsidR="00AB6395" w:rsidRPr="00AB6395">
        <w:t xml:space="preserve"> a ich realizacja</w:t>
      </w:r>
      <w:r w:rsidR="00AB6395">
        <w:t xml:space="preserve"> pozwoli na kompleksowy rozwój </w:t>
      </w:r>
      <w:r w:rsidR="00AB6395" w:rsidRPr="00AB6395">
        <w:t>OF</w:t>
      </w:r>
      <w:r w:rsidR="00AB6395">
        <w:t xml:space="preserve"> Olkusza</w:t>
      </w:r>
      <w:r w:rsidR="00AB6395" w:rsidRPr="00AB6395">
        <w:t xml:space="preserve">. </w:t>
      </w:r>
      <w:r w:rsidR="00AB6395">
        <w:t xml:space="preserve">Zostały one wypracowane na bazie zidentyfikowanych na drodze diagnozy mocnych i słabych stron partnerskich gmin, dzięki czemu w </w:t>
      </w:r>
      <w:r w:rsidR="00AB6395" w:rsidRPr="00AB6395">
        <w:t>kompleksowy sposób odpowiada</w:t>
      </w:r>
      <w:r w:rsidR="00AB6395">
        <w:t>ją</w:t>
      </w:r>
      <w:r w:rsidR="00AB6395" w:rsidRPr="00AB6395">
        <w:t xml:space="preserve"> na potrzeby społecz</w:t>
      </w:r>
      <w:r w:rsidR="00AB6395">
        <w:t>ności lokalnej oraz wykorzystują</w:t>
      </w:r>
      <w:r w:rsidR="00AB6395" w:rsidRPr="00AB6395">
        <w:t xml:space="preserve"> potencjał</w:t>
      </w:r>
      <w:r w:rsidR="00AB6395">
        <w:t>y OF.</w:t>
      </w:r>
    </w:p>
    <w:p w14:paraId="2641A23B" w14:textId="47CDCD27" w:rsidR="0044430E" w:rsidRDefault="00316B81" w:rsidP="004B6174">
      <w:pPr>
        <w:spacing w:after="120" w:line="336" w:lineRule="auto"/>
        <w:jc w:val="both"/>
      </w:pPr>
      <w:r w:rsidRPr="00316B81">
        <w:t xml:space="preserve">Oba </w:t>
      </w:r>
      <w:r>
        <w:t xml:space="preserve">cele </w:t>
      </w:r>
      <w:r w:rsidRPr="00316B81">
        <w:t>bazują na wykorzystaniu wspólnych dl</w:t>
      </w:r>
      <w:r>
        <w:t xml:space="preserve">a wszystkich partnerskich gmin </w:t>
      </w:r>
      <w:r w:rsidRPr="00316B81">
        <w:t xml:space="preserve">OF </w:t>
      </w:r>
      <w:r>
        <w:t xml:space="preserve">Olkusza </w:t>
      </w:r>
      <w:r w:rsidRPr="00316B81">
        <w:t xml:space="preserve">potencjałów historyczno-kulturowych i przyrodniczych do rozwijania funkcji turystycznych Obszaru oraz stymulowania poziomu uczestnictwa jego mieszkańców w życiu społecznym. Zakłada się, że realizacja zaplanowanych działań przyczyni się do podniesienia atrakcyjności turystycznej Obszaru, a tym samym do dywersyfikacji lokalnej gospodarki i wzmocnienia jej konkurencyjności. </w:t>
      </w:r>
      <w:r w:rsidR="008A46B4">
        <w:t>Rozwinięcie oferty ponadlokalnych atrakcji przełoży się bowiem na zwiększenie natężenia ruchu turystycznego</w:t>
      </w:r>
      <w:r w:rsidR="00CF0A08">
        <w:t>, a </w:t>
      </w:r>
      <w:r w:rsidR="008A46B4">
        <w:t xml:space="preserve">rozbudowa liniowej infrastruktury w postaci tras i szlaków pozwoli na jego ukierunkowanie </w:t>
      </w:r>
      <w:r w:rsidR="008A46B4" w:rsidRPr="008A46B4">
        <w:t>na inne, niedostatecznie odkryte do tej pory miejsca zlokalizowane na tereni</w:t>
      </w:r>
      <w:r w:rsidR="008A46B4">
        <w:t>e OF Olkusza.</w:t>
      </w:r>
      <w:r w:rsidR="00B206DF">
        <w:t xml:space="preserve"> Z</w:t>
      </w:r>
      <w:r w:rsidR="008A46B4">
        <w:t>akłada się</w:t>
      </w:r>
      <w:r w:rsidR="00B206DF">
        <w:t xml:space="preserve"> zatem</w:t>
      </w:r>
      <w:r w:rsidR="008A46B4">
        <w:t xml:space="preserve">, że </w:t>
      </w:r>
      <w:r w:rsidR="00DB7671">
        <w:t xml:space="preserve">realizacja zaplanowanych zadań </w:t>
      </w:r>
      <w:r w:rsidR="00DB7671" w:rsidRPr="00DB7671">
        <w:t>będzie stanowił</w:t>
      </w:r>
      <w:r w:rsidR="00DB7671">
        <w:t>a</w:t>
      </w:r>
      <w:r w:rsidR="00DB7671" w:rsidRPr="00DB7671">
        <w:t xml:space="preserve"> element tworzący warunki do rozwoju branży turystycznej</w:t>
      </w:r>
      <w:r w:rsidR="00DB7671">
        <w:t xml:space="preserve"> – lokalnych przedsiębiorstw </w:t>
      </w:r>
      <w:r w:rsidR="00DB7671" w:rsidRPr="00DB7671">
        <w:t>m.in. z branży hotelarskiej czy gastron</w:t>
      </w:r>
      <w:r w:rsidR="00CF0A08">
        <w:t>omicznej w </w:t>
      </w:r>
      <w:r w:rsidR="002F5CD1">
        <w:t xml:space="preserve">partnerskich gminach, a tym samym </w:t>
      </w:r>
      <w:r w:rsidR="00F42AE2">
        <w:t xml:space="preserve">zwiększenia dostępności różnorodnych miejsc pracy poza sektorem przemysłowym. </w:t>
      </w:r>
      <w:r w:rsidR="00F42AE2" w:rsidRPr="00316B81">
        <w:t>To z kolei przełoży się na po</w:t>
      </w:r>
      <w:r w:rsidR="00F42AE2">
        <w:t>prawę warunków życia w gminach OF i </w:t>
      </w:r>
      <w:r w:rsidR="00F42AE2" w:rsidRPr="00316B81">
        <w:t>zwiększenie atrakcyjności osiedleńczej Obszaru.</w:t>
      </w:r>
    </w:p>
    <w:p w14:paraId="300EE08C" w14:textId="379464F4" w:rsidR="00316B81" w:rsidRDefault="00F42AE2" w:rsidP="004B6174">
      <w:pPr>
        <w:spacing w:after="120" w:line="336" w:lineRule="auto"/>
        <w:jc w:val="both"/>
      </w:pPr>
      <w:r>
        <w:t xml:space="preserve">Zaplanowane działania stanowią element </w:t>
      </w:r>
      <w:r w:rsidRPr="00F42AE2">
        <w:t xml:space="preserve">integrujący OF nie tylko przestrzennie (ciągłość tras </w:t>
      </w:r>
      <w:r>
        <w:t>i szlaków turystycznych</w:t>
      </w:r>
      <w:r w:rsidRPr="00F42AE2">
        <w:t>, połączen</w:t>
      </w:r>
      <w:r>
        <w:t xml:space="preserve">ie partnerskich gmin i atrakcji </w:t>
      </w:r>
      <w:r w:rsidRPr="00F42AE2">
        <w:t xml:space="preserve">zlokalizowanych na ich terenie), ale również tematycznie – w założeniu </w:t>
      </w:r>
      <w:r>
        <w:t xml:space="preserve">interwencja strategiczna bazuje </w:t>
      </w:r>
      <w:r w:rsidRPr="00F42AE2">
        <w:t xml:space="preserve">bowiem na wspólnych dla wszystkich gmin </w:t>
      </w:r>
      <w:r>
        <w:t xml:space="preserve">materialnym i niematerialnym </w:t>
      </w:r>
      <w:r w:rsidRPr="00F42AE2">
        <w:t xml:space="preserve">dziedzictwie </w:t>
      </w:r>
      <w:r>
        <w:t xml:space="preserve">historyczno-kulturowym (przede wszystkim </w:t>
      </w:r>
      <w:r w:rsidRPr="00F42AE2">
        <w:t>górniczym</w:t>
      </w:r>
      <w:r>
        <w:t>)</w:t>
      </w:r>
      <w:r w:rsidRPr="00F42AE2">
        <w:t xml:space="preserve">. </w:t>
      </w:r>
      <w:r>
        <w:t>Co istotne, w</w:t>
      </w:r>
      <w:r w:rsidRPr="00F42AE2">
        <w:t>alory sprzyjające atrakcyjności turystycznej Obszaru stanowią również element integrujący lokalną społeczność</w:t>
      </w:r>
      <w:r w:rsidR="00A92D2F">
        <w:t>, dlatego będą wykorzystywane do rozwijania oferty kulturalno-rozrywkowej. I</w:t>
      </w:r>
      <w:r w:rsidR="00316B81" w:rsidRPr="00316B81">
        <w:t xml:space="preserve">nwestycje związane z rozwojem infrastruktury służącej </w:t>
      </w:r>
      <w:r w:rsidR="00316B81">
        <w:t>zwiększaniu poziomu uczestnictwa</w:t>
      </w:r>
      <w:r w:rsidR="00316B81" w:rsidRPr="00316B81">
        <w:t xml:space="preserve"> w życiu kulturalnym będą </w:t>
      </w:r>
      <w:r w:rsidR="00A92D2F">
        <w:t xml:space="preserve">z kolei </w:t>
      </w:r>
      <w:r w:rsidR="00316B81" w:rsidRPr="00316B81">
        <w:t>sprzyjały zacieśnianiu więzi społecznych oraz podnoszeniu p</w:t>
      </w:r>
      <w:r w:rsidR="00316B81">
        <w:t xml:space="preserve">oziomu aktywności społecznej w </w:t>
      </w:r>
      <w:r w:rsidR="00316B81" w:rsidRPr="00316B81">
        <w:t>OF,  a więc przełożą się na wzmocnienie kapitału ludzkiego i społecznego Obszaru</w:t>
      </w:r>
      <w:r w:rsidR="00316B81">
        <w:t>.</w:t>
      </w:r>
      <w:r w:rsidR="00070856">
        <w:t xml:space="preserve"> </w:t>
      </w:r>
    </w:p>
    <w:p w14:paraId="41F22FE1" w14:textId="0D96CB48" w:rsidR="009F2E80" w:rsidRDefault="00A22821" w:rsidP="009F2E80">
      <w:pPr>
        <w:pStyle w:val="Nagwek1"/>
      </w:pPr>
      <w:bookmarkStart w:id="16" w:name="_Toc181691579"/>
      <w:r>
        <w:t xml:space="preserve">3. </w:t>
      </w:r>
      <w:r w:rsidR="009F2E80">
        <w:t>Poziom operacyjny</w:t>
      </w:r>
      <w:bookmarkEnd w:id="16"/>
    </w:p>
    <w:p w14:paraId="03239FC9" w14:textId="7CD823B5" w:rsidR="009F2E80" w:rsidRDefault="009B1037" w:rsidP="009F2E80">
      <w:pPr>
        <w:pStyle w:val="Nagwek2"/>
      </w:pPr>
      <w:bookmarkStart w:id="17" w:name="_Toc181691580"/>
      <w:r>
        <w:t xml:space="preserve">3.1 </w:t>
      </w:r>
      <w:r w:rsidR="009F2E80">
        <w:t>Lista projektów realizujących cele strategiczne</w:t>
      </w:r>
      <w:bookmarkEnd w:id="17"/>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E6F6" w:themeFill="accent6" w:themeFillTint="33"/>
        <w:tblLook w:val="04A0" w:firstRow="1" w:lastRow="0" w:firstColumn="1" w:lastColumn="0" w:noHBand="0" w:noVBand="1"/>
      </w:tblPr>
      <w:tblGrid>
        <w:gridCol w:w="9062"/>
      </w:tblGrid>
      <w:tr w:rsidR="004B6174" w:rsidRPr="004B6174" w14:paraId="69EB5532" w14:textId="77777777" w:rsidTr="00B35C5B">
        <w:tc>
          <w:tcPr>
            <w:tcW w:w="9062" w:type="dxa"/>
            <w:shd w:val="clear" w:color="auto" w:fill="D0E6F6" w:themeFill="accent6" w:themeFillTint="33"/>
          </w:tcPr>
          <w:p w14:paraId="66085D2C" w14:textId="67F751B7" w:rsidR="004B6174" w:rsidRPr="004B6174" w:rsidRDefault="004B6174" w:rsidP="00D16977">
            <w:pPr>
              <w:spacing w:before="120" w:after="120"/>
              <w:jc w:val="both"/>
              <w:rPr>
                <w:i/>
              </w:rPr>
            </w:pPr>
            <w:r w:rsidRPr="004B6174">
              <w:rPr>
                <w:i/>
                <w:sz w:val="20"/>
              </w:rPr>
              <w:t>Rozdział wynika z art. 36 ust. 8 ustawy z dnia 28 kwietnia 2022 r. o zasadach realizacji zadań finansowanych ze środków europejskich w perspektywie finansowej 2021-2027 wskazującego, iż s</w:t>
            </w:r>
            <w:r w:rsidR="00D16977">
              <w:rPr>
                <w:i/>
                <w:sz w:val="20"/>
              </w:rPr>
              <w:t>trategia IIT określa w </w:t>
            </w:r>
            <w:r w:rsidRPr="004B6174">
              <w:rPr>
                <w:i/>
                <w:sz w:val="20"/>
              </w:rPr>
              <w:t>szczególności m.in. listę projektów realizujących cele wraz z informacją na temat sposobu ich wskazania oraz powiązania z innymi projektami.</w:t>
            </w:r>
          </w:p>
        </w:tc>
      </w:tr>
    </w:tbl>
    <w:p w14:paraId="2012120C" w14:textId="6C0EEF6B" w:rsidR="00A76699" w:rsidRDefault="00A76699" w:rsidP="00A76699">
      <w:pPr>
        <w:spacing w:before="240" w:line="360" w:lineRule="auto"/>
        <w:jc w:val="both"/>
      </w:pPr>
      <w:r>
        <w:t xml:space="preserve">Podstawę interwencji strategicznej w ramach mechanizmu IIT stanowią konkretne przedsięwzięcia zgłaszane i opracowywane przez partnerskie gminy, tj. Gminę Olkusz, Gminę Bolesław i Gminę Klucze we współpracy z partnerami społeczno-gospodarczymi. Poszczególne </w:t>
      </w:r>
      <w:r w:rsidR="004B6174">
        <w:t>przedsięwzięcia wpisują się w </w:t>
      </w:r>
      <w:r>
        <w:t xml:space="preserve">wytyczone cele strategiczne i stanowią odpowiedź na zdefiniowane w ich ramach kluczowe potrzeby i potencjały rozwojowe Obszaru. </w:t>
      </w:r>
    </w:p>
    <w:p w14:paraId="59FC405F" w14:textId="77777777" w:rsidR="003C0048" w:rsidRDefault="003C0048" w:rsidP="003C0048">
      <w:pPr>
        <w:spacing w:line="360" w:lineRule="auto"/>
        <w:jc w:val="both"/>
      </w:pPr>
      <w:r>
        <w:t xml:space="preserve">Zgodnie z definicją przedstawioną </w:t>
      </w:r>
      <w:r w:rsidRPr="000963F1">
        <w:t>w dokumencie</w:t>
      </w:r>
      <w:r>
        <w:t xml:space="preserve"> pn. „</w:t>
      </w:r>
      <w:r w:rsidRPr="000963F1">
        <w:t>Zasady realizacji instrumentów terytorialnych w</w:t>
      </w:r>
      <w:r>
        <w:t> </w:t>
      </w:r>
      <w:r w:rsidRPr="000963F1">
        <w:t>Polsce w perspektywie finansowej UE na lata 2021-2027</w:t>
      </w:r>
      <w:r>
        <w:t>”</w:t>
      </w:r>
      <w:r>
        <w:rPr>
          <w:rStyle w:val="Odwoanieprzypisudolnego"/>
        </w:rPr>
        <w:footnoteReference w:id="9"/>
      </w:r>
      <w:r>
        <w:t xml:space="preserve"> </w:t>
      </w:r>
      <w:r w:rsidRPr="003C0048">
        <w:rPr>
          <w:b/>
        </w:rPr>
        <w:t>projekt zintegrowany</w:t>
      </w:r>
      <w:r>
        <w:t xml:space="preserve"> to projekt, który wpisuje się w cele rozwoju obszaru funkcjonalnego objętego instrumentem i jest ukierunkowany na rozwiązywanie wspólnych problemów rozwojowych – oznacza to, że projekt ten ma wpływ na więcej niż 1 gminę w OF oraz jego</w:t>
      </w:r>
      <w:r w:rsidRPr="000963F1">
        <w:t xml:space="preserve"> </w:t>
      </w:r>
      <w:r>
        <w:t>realizacja jest uzasadniona zarówno w części diagnostycznej, jak i w części kierunkowej strategii.</w:t>
      </w:r>
    </w:p>
    <w:p w14:paraId="0D34C0D8" w14:textId="6D0995F3" w:rsidR="00A76699" w:rsidRDefault="00A76699" w:rsidP="00A76699">
      <w:pPr>
        <w:spacing w:line="360" w:lineRule="auto"/>
        <w:jc w:val="both"/>
      </w:pPr>
      <w:r>
        <w:t>P</w:t>
      </w:r>
      <w:r w:rsidR="003C0048">
        <w:t xml:space="preserve">rojekty </w:t>
      </w:r>
      <w:r>
        <w:t xml:space="preserve">zintegrowane zaplanowane do realizacji w ramach Strategii IIT cechują się komplementarnością, co oznacza, że ich wdrażanie przyczyni się do wielokierunkowego rozwoju </w:t>
      </w:r>
      <w:r w:rsidR="00F2197C">
        <w:t>obszaru funkcjonalnego Olkusza</w:t>
      </w:r>
      <w:r>
        <w:t>. Ponadto, zakłada się, że poszczególne zadania przyniosą wspólny efekt, rezultat lub produkt końcowy dla partnerskich gmin. Istotny jest zatem przewidywany zasięg oddziaływania konkretnych przedsięwzięć, wyrażany m.in. poprzez zapewnienie szerokiego dostępu do nowoutworzonej w ramach interwencji strategicznej infrastruktury dla mieszkańców więcej niż jednej gminy obszaru funkcjonalnego.</w:t>
      </w:r>
    </w:p>
    <w:p w14:paraId="21C00952" w14:textId="54C0FE86" w:rsidR="00C43154" w:rsidRDefault="00C43154" w:rsidP="004B6174">
      <w:pPr>
        <w:spacing w:after="0" w:line="360" w:lineRule="auto"/>
        <w:jc w:val="both"/>
        <w:rPr>
          <w:b/>
        </w:rPr>
      </w:pPr>
      <w:r w:rsidRPr="00C43154">
        <w:rPr>
          <w:b/>
        </w:rPr>
        <w:t>Proces wyboru projektów</w:t>
      </w:r>
    </w:p>
    <w:p w14:paraId="7FC98040" w14:textId="5AE4298F" w:rsidR="004B5108" w:rsidRDefault="00C43154" w:rsidP="00C43154">
      <w:pPr>
        <w:spacing w:line="360" w:lineRule="auto"/>
        <w:jc w:val="both"/>
      </w:pPr>
      <w:r>
        <w:t>W </w:t>
      </w:r>
      <w:r w:rsidRPr="006F71F5">
        <w:t>celu identyfikacji projektów rekomendowanych do wsparcia na etapie prac nad Strategią przeprowadzono szereg s</w:t>
      </w:r>
      <w:r>
        <w:t>potkań z Zespołem Operacyjnym, przedstawic</w:t>
      </w:r>
      <w:r w:rsidR="004B6174">
        <w:t>ielami gmin: Olkusz, Bolesław i </w:t>
      </w:r>
      <w:r>
        <w:t xml:space="preserve">Klucze </w:t>
      </w:r>
      <w:r w:rsidRPr="006F71F5">
        <w:t xml:space="preserve">oraz członkami </w:t>
      </w:r>
      <w:r>
        <w:t>Zespołu</w:t>
      </w:r>
      <w:r w:rsidRPr="006F71F5">
        <w:t xml:space="preserve"> Doradczego. </w:t>
      </w:r>
      <w:r w:rsidRPr="002F4119">
        <w:t xml:space="preserve">Podczas spotkań </w:t>
      </w:r>
      <w:r>
        <w:t>miały miejsce</w:t>
      </w:r>
      <w:r w:rsidRPr="002F4119">
        <w:t xml:space="preserve"> dyskusje dotyczące kluczowych potrzeb rozwojowych oraz potencjałów </w:t>
      </w:r>
      <w:r>
        <w:t>poszczególnych gmin przekładających się również na potencjał całego obszaru funkcjonalnego. W </w:t>
      </w:r>
      <w:r w:rsidRPr="006F71F5">
        <w:t>odpowiedzi na zidentyfikowane w czasie dyskusji wyzwania</w:t>
      </w:r>
      <w:r>
        <w:t xml:space="preserve"> wypracowano cele IIT oraz </w:t>
      </w:r>
      <w:r w:rsidRPr="006F71F5">
        <w:t xml:space="preserve">określono w </w:t>
      </w:r>
      <w:r>
        <w:t>ich ramach priorytety.</w:t>
      </w:r>
      <w:r w:rsidRPr="006F71F5">
        <w:t xml:space="preserve"> W rezultacie zidentyfikowano priorytety wspa</w:t>
      </w:r>
      <w:r w:rsidR="004B5108">
        <w:t xml:space="preserve">rcia związane ze wzmacnianiem funkcji turystycznych partnerskich gmin oraz podnoszeniem jakości oferty kulturalnej. </w:t>
      </w:r>
    </w:p>
    <w:p w14:paraId="6670B9FD" w14:textId="704A17AD" w:rsidR="00C43154" w:rsidRDefault="00C43154" w:rsidP="00C43154">
      <w:pPr>
        <w:spacing w:line="360" w:lineRule="auto"/>
        <w:jc w:val="both"/>
      </w:pPr>
      <w:r w:rsidRPr="002E1252">
        <w:t xml:space="preserve">Dyskusje te były </w:t>
      </w:r>
      <w:r>
        <w:t xml:space="preserve">zatem </w:t>
      </w:r>
      <w:r w:rsidRPr="002E1252">
        <w:t xml:space="preserve">okazją do omówienia różnorodnych kwestii, w tym problemów infrastrukturalnych, społecznych i środowiskowych, z którymi mierzą się </w:t>
      </w:r>
      <w:r>
        <w:t xml:space="preserve">partnerskie </w:t>
      </w:r>
      <w:r w:rsidRPr="002E1252">
        <w:t xml:space="preserve">gminy. Dzięki zaangażowaniu lokalnych przedstawicieli oraz </w:t>
      </w:r>
      <w:r>
        <w:t>członków</w:t>
      </w:r>
      <w:r w:rsidRPr="002E1252">
        <w:t xml:space="preserve"> Zespołu Doradczego, udało się stworzyć spójny i </w:t>
      </w:r>
      <w:r>
        <w:t>trafnie</w:t>
      </w:r>
      <w:r w:rsidRPr="002E1252">
        <w:t xml:space="preserve"> zdefiniowany plan działań, który ma na celu poprawę jakości życia mieszkańców oraz zrównoważony rozwój </w:t>
      </w:r>
      <w:r>
        <w:t>obszaru funkcjonalnego</w:t>
      </w:r>
      <w:r w:rsidRPr="002E1252">
        <w:t xml:space="preserve">. </w:t>
      </w:r>
    </w:p>
    <w:p w14:paraId="542276CB" w14:textId="21D8C39A" w:rsidR="00C43154" w:rsidRDefault="00C43154" w:rsidP="00C43154">
      <w:pPr>
        <w:spacing w:line="360" w:lineRule="auto"/>
        <w:jc w:val="both"/>
      </w:pPr>
      <w:r>
        <w:t xml:space="preserve">W odniesieniu do określonych priorytetów partnerskie gminy zgłaszały projekty rekomendowane do dofinansowania. W efekcie powstała lista projektów, które następnie zestawiono w projekty zintegrowane zgodnie z obszarami tematycznymi i celami, jakie mają realizować. Projekty zintegrowane konsultowane były z partnerami społeczno-gospodarczymi, którzy mieli możliwość składania uwag i propozycji modyfikacji zakresów poszczególnych projektów. </w:t>
      </w:r>
      <w:r w:rsidRPr="00C43154">
        <w:rPr>
          <w:highlight w:val="yellow"/>
        </w:rPr>
        <w:t>Ostatecznie, zestawienie i zakres poszczególnych pr</w:t>
      </w:r>
      <w:r w:rsidR="00BD658C">
        <w:rPr>
          <w:highlight w:val="yellow"/>
        </w:rPr>
        <w:t>ojektów zostanie</w:t>
      </w:r>
      <w:r w:rsidRPr="00C43154">
        <w:rPr>
          <w:highlight w:val="yellow"/>
        </w:rPr>
        <w:t xml:space="preserve"> zaopiniowane przez Zespół Doradczy.</w:t>
      </w:r>
      <w:r>
        <w:t xml:space="preserve"> </w:t>
      </w:r>
    </w:p>
    <w:p w14:paraId="49341A4B" w14:textId="77777777" w:rsidR="00C43154" w:rsidRDefault="00C43154" w:rsidP="00C43154">
      <w:pPr>
        <w:spacing w:line="360" w:lineRule="auto"/>
        <w:jc w:val="both"/>
      </w:pPr>
      <w:r>
        <w:t>Poniżej przedstawiono zestawienie celów IIT wraz z zakresem przedsięwzięć zintegrowanych i projektów realizujących te cele.</w:t>
      </w:r>
    </w:p>
    <w:p w14:paraId="27FF247A" w14:textId="77777777" w:rsidR="00C43154" w:rsidRDefault="00C43154" w:rsidP="00C43154">
      <w:pPr>
        <w:spacing w:line="360" w:lineRule="auto"/>
        <w:jc w:val="both"/>
        <w:sectPr w:rsidR="00C43154">
          <w:pgSz w:w="11906" w:h="16838"/>
          <w:pgMar w:top="1417" w:right="1417" w:bottom="1417" w:left="1417" w:header="708" w:footer="708" w:gutter="0"/>
          <w:cols w:space="708"/>
          <w:docGrid w:linePitch="360"/>
        </w:sectPr>
      </w:pPr>
    </w:p>
    <w:tbl>
      <w:tblPr>
        <w:tblStyle w:val="Tabela-Siatka"/>
        <w:tblW w:w="14240" w:type="dxa"/>
        <w:tblInd w:w="2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623"/>
        <w:gridCol w:w="1418"/>
        <w:gridCol w:w="2268"/>
        <w:gridCol w:w="1984"/>
        <w:gridCol w:w="1701"/>
        <w:gridCol w:w="5246"/>
      </w:tblGrid>
      <w:tr w:rsidR="00C43154" w:rsidRPr="00430B35" w14:paraId="7CC7D102" w14:textId="77777777" w:rsidTr="004B6174">
        <w:trPr>
          <w:trHeight w:val="510"/>
        </w:trPr>
        <w:tc>
          <w:tcPr>
            <w:tcW w:w="3041" w:type="dxa"/>
            <w:gridSpan w:val="2"/>
            <w:tcBorders>
              <w:bottom w:val="single" w:sz="4" w:space="0" w:color="808080" w:themeColor="background1" w:themeShade="80"/>
            </w:tcBorders>
            <w:shd w:val="clear" w:color="auto" w:fill="A3CEED" w:themeFill="accent6" w:themeFillTint="66"/>
            <w:vAlign w:val="center"/>
          </w:tcPr>
          <w:p w14:paraId="32CBB030" w14:textId="77777777" w:rsidR="00C43154" w:rsidRPr="00430B35" w:rsidRDefault="00C43154" w:rsidP="002044BE">
            <w:pPr>
              <w:jc w:val="center"/>
              <w:rPr>
                <w:sz w:val="20"/>
                <w:szCs w:val="20"/>
              </w:rPr>
            </w:pPr>
            <w:r w:rsidRPr="00430B35">
              <w:rPr>
                <w:sz w:val="20"/>
                <w:szCs w:val="20"/>
              </w:rPr>
              <w:t>FEM 2021-2027</w:t>
            </w:r>
          </w:p>
        </w:tc>
        <w:tc>
          <w:tcPr>
            <w:tcW w:w="11199" w:type="dxa"/>
            <w:gridSpan w:val="4"/>
            <w:tcBorders>
              <w:bottom w:val="single" w:sz="4" w:space="0" w:color="808080" w:themeColor="background1" w:themeShade="80"/>
            </w:tcBorders>
            <w:shd w:val="clear" w:color="auto" w:fill="A3CEED" w:themeFill="accent6" w:themeFillTint="66"/>
            <w:vAlign w:val="center"/>
          </w:tcPr>
          <w:p w14:paraId="4B32F402" w14:textId="2A9CB3E0" w:rsidR="00C43154" w:rsidRPr="00430B35" w:rsidRDefault="00C43154" w:rsidP="00C43154">
            <w:pPr>
              <w:jc w:val="center"/>
              <w:rPr>
                <w:sz w:val="20"/>
                <w:szCs w:val="20"/>
              </w:rPr>
            </w:pPr>
            <w:r w:rsidRPr="00430B35">
              <w:rPr>
                <w:sz w:val="20"/>
                <w:szCs w:val="20"/>
              </w:rPr>
              <w:t xml:space="preserve">Strategia IIT </w:t>
            </w:r>
            <w:r w:rsidRPr="00C43154">
              <w:rPr>
                <w:sz w:val="20"/>
                <w:szCs w:val="20"/>
              </w:rPr>
              <w:t>dla obszarów Gminy Olkusz, Gminy Klucze i Gminy Bolesław</w:t>
            </w:r>
          </w:p>
        </w:tc>
      </w:tr>
      <w:tr w:rsidR="00C43154" w:rsidRPr="00430B35" w14:paraId="769AA1C2" w14:textId="77777777" w:rsidTr="004B6174">
        <w:trPr>
          <w:trHeight w:val="510"/>
        </w:trPr>
        <w:tc>
          <w:tcPr>
            <w:tcW w:w="1623"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0E6F6" w:themeFill="accent6" w:themeFillTint="33"/>
            <w:vAlign w:val="center"/>
          </w:tcPr>
          <w:p w14:paraId="18AA233A" w14:textId="77777777" w:rsidR="00C43154" w:rsidRPr="00430B35" w:rsidRDefault="00C43154" w:rsidP="002044BE">
            <w:pPr>
              <w:jc w:val="center"/>
              <w:rPr>
                <w:sz w:val="20"/>
                <w:szCs w:val="20"/>
              </w:rPr>
            </w:pPr>
            <w:r w:rsidRPr="00430B35">
              <w:rPr>
                <w:sz w:val="20"/>
                <w:szCs w:val="20"/>
              </w:rPr>
              <w:t>Działanie</w:t>
            </w: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0E6F6" w:themeFill="accent6" w:themeFillTint="33"/>
            <w:vAlign w:val="center"/>
          </w:tcPr>
          <w:p w14:paraId="52163851" w14:textId="77777777" w:rsidR="00C43154" w:rsidRPr="008749B3" w:rsidRDefault="00C43154" w:rsidP="002044BE">
            <w:pPr>
              <w:jc w:val="center"/>
              <w:rPr>
                <w:sz w:val="20"/>
                <w:szCs w:val="20"/>
              </w:rPr>
            </w:pPr>
            <w:r w:rsidRPr="008749B3">
              <w:rPr>
                <w:sz w:val="20"/>
                <w:szCs w:val="20"/>
              </w:rPr>
              <w:t>Typ projektu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0E6F6" w:themeFill="accent6" w:themeFillTint="33"/>
            <w:vAlign w:val="center"/>
          </w:tcPr>
          <w:p w14:paraId="397B69DF" w14:textId="77777777" w:rsidR="00C43154" w:rsidRPr="008749B3" w:rsidRDefault="00C43154" w:rsidP="002044BE">
            <w:pPr>
              <w:jc w:val="center"/>
              <w:rPr>
                <w:sz w:val="20"/>
                <w:szCs w:val="20"/>
              </w:rPr>
            </w:pPr>
            <w:r w:rsidRPr="008749B3">
              <w:rPr>
                <w:sz w:val="20"/>
                <w:szCs w:val="20"/>
              </w:rPr>
              <w:t>Cel IIT</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0E6F6" w:themeFill="accent6" w:themeFillTint="33"/>
            <w:vAlign w:val="center"/>
          </w:tcPr>
          <w:p w14:paraId="4E995FCF" w14:textId="77777777" w:rsidR="00C43154" w:rsidRPr="00430B35" w:rsidRDefault="00C43154" w:rsidP="002044BE">
            <w:pPr>
              <w:jc w:val="center"/>
              <w:rPr>
                <w:sz w:val="20"/>
                <w:szCs w:val="20"/>
              </w:rPr>
            </w:pPr>
            <w:r w:rsidRPr="00430B35">
              <w:rPr>
                <w:sz w:val="20"/>
                <w:szCs w:val="20"/>
              </w:rPr>
              <w:t>PZ</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0E6F6" w:themeFill="accent6" w:themeFillTint="33"/>
            <w:vAlign w:val="center"/>
          </w:tcPr>
          <w:p w14:paraId="6CFD7332" w14:textId="5FA4DDD4" w:rsidR="00C43154" w:rsidRPr="00430B35" w:rsidRDefault="002B66F5" w:rsidP="002044BE">
            <w:pPr>
              <w:jc w:val="center"/>
              <w:rPr>
                <w:sz w:val="20"/>
                <w:szCs w:val="20"/>
              </w:rPr>
            </w:pPr>
            <w:r>
              <w:rPr>
                <w:sz w:val="20"/>
                <w:szCs w:val="20"/>
              </w:rPr>
              <w:t>Lider i partnerzy projektu</w:t>
            </w:r>
          </w:p>
        </w:tc>
        <w:tc>
          <w:tcPr>
            <w:tcW w:w="5246"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0E6F6" w:themeFill="accent6" w:themeFillTint="33"/>
            <w:vAlign w:val="center"/>
          </w:tcPr>
          <w:p w14:paraId="52392DB0" w14:textId="77777777" w:rsidR="00C43154" w:rsidRPr="00430B35" w:rsidRDefault="00C43154" w:rsidP="002044BE">
            <w:pPr>
              <w:jc w:val="center"/>
              <w:rPr>
                <w:sz w:val="20"/>
                <w:szCs w:val="20"/>
              </w:rPr>
            </w:pPr>
            <w:r w:rsidRPr="00430B35">
              <w:rPr>
                <w:sz w:val="20"/>
                <w:szCs w:val="20"/>
              </w:rPr>
              <w:t>Zakres (projekt)</w:t>
            </w:r>
          </w:p>
        </w:tc>
      </w:tr>
      <w:tr w:rsidR="00A74723" w:rsidRPr="00430B35" w14:paraId="10050374" w14:textId="77777777" w:rsidTr="00F35498">
        <w:trPr>
          <w:trHeight w:val="428"/>
        </w:trPr>
        <w:tc>
          <w:tcPr>
            <w:tcW w:w="1623" w:type="dxa"/>
            <w:vMerge w:val="restart"/>
            <w:tcBorders>
              <w:top w:val="single" w:sz="4" w:space="0" w:color="808080" w:themeColor="background1" w:themeShade="80"/>
            </w:tcBorders>
            <w:shd w:val="clear" w:color="auto" w:fill="FFFFFF" w:themeFill="background1"/>
            <w:vAlign w:val="center"/>
          </w:tcPr>
          <w:p w14:paraId="253C941A" w14:textId="77777777" w:rsidR="00A74723" w:rsidRPr="00430B35" w:rsidRDefault="00A74723" w:rsidP="00274C78">
            <w:pPr>
              <w:rPr>
                <w:sz w:val="20"/>
                <w:szCs w:val="20"/>
              </w:rPr>
            </w:pPr>
            <w:r w:rsidRPr="00430B35">
              <w:rPr>
                <w:sz w:val="20"/>
                <w:szCs w:val="20"/>
              </w:rPr>
              <w:t>FEM 2021-2027, CS 5i, Działanie FEMP.07.01 IIT - Wsparcie oddolnych inicjatyw na obszarach miejskich</w:t>
            </w:r>
          </w:p>
        </w:tc>
        <w:tc>
          <w:tcPr>
            <w:tcW w:w="1418" w:type="dxa"/>
            <w:vMerge w:val="restart"/>
            <w:tcBorders>
              <w:top w:val="single" w:sz="4" w:space="0" w:color="808080" w:themeColor="background1" w:themeShade="80"/>
              <w:right w:val="single" w:sz="4" w:space="0" w:color="808080" w:themeColor="background1" w:themeShade="80"/>
            </w:tcBorders>
            <w:shd w:val="clear" w:color="auto" w:fill="FFFFFF" w:themeFill="background1"/>
            <w:vAlign w:val="center"/>
          </w:tcPr>
          <w:p w14:paraId="200A7068" w14:textId="3619F507" w:rsidR="00A74723" w:rsidRPr="008749B3" w:rsidRDefault="00A74723" w:rsidP="00274C78">
            <w:pPr>
              <w:rPr>
                <w:sz w:val="20"/>
                <w:szCs w:val="20"/>
              </w:rPr>
            </w:pPr>
            <w:r w:rsidRPr="008749B3">
              <w:rPr>
                <w:sz w:val="20"/>
                <w:szCs w:val="20"/>
              </w:rPr>
              <w:t>C. OFERTA TURYSTYCZNA</w:t>
            </w:r>
          </w:p>
        </w:tc>
        <w:tc>
          <w:tcPr>
            <w:tcW w:w="2268"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142949BF" w14:textId="32EFF80C" w:rsidR="00A74723" w:rsidRPr="008749B3" w:rsidRDefault="00A74723" w:rsidP="003339B1">
            <w:pPr>
              <w:rPr>
                <w:bCs/>
                <w:sz w:val="20"/>
                <w:szCs w:val="20"/>
              </w:rPr>
            </w:pPr>
            <w:r w:rsidRPr="008749B3">
              <w:rPr>
                <w:bCs/>
                <w:sz w:val="20"/>
                <w:szCs w:val="20"/>
              </w:rPr>
              <w:t>1 CEL IIT Rozwój funkcji turystycznych obszaru funkcjonalnego Olkusza</w:t>
            </w:r>
          </w:p>
        </w:tc>
        <w:tc>
          <w:tcPr>
            <w:tcW w:w="1984" w:type="dxa"/>
            <w:vMerge w:val="restart"/>
            <w:tcBorders>
              <w:top w:val="single" w:sz="4" w:space="0" w:color="808080" w:themeColor="background1" w:themeShade="80"/>
              <w:left w:val="single" w:sz="4" w:space="0" w:color="808080" w:themeColor="background1" w:themeShade="80"/>
            </w:tcBorders>
            <w:shd w:val="clear" w:color="auto" w:fill="FFFFFF" w:themeFill="background1"/>
            <w:vAlign w:val="center"/>
          </w:tcPr>
          <w:p w14:paraId="0EFEE0EF" w14:textId="2BB2B4C5" w:rsidR="00A74723" w:rsidRPr="00430B35" w:rsidRDefault="00A74723" w:rsidP="005E78A4">
            <w:pPr>
              <w:rPr>
                <w:sz w:val="20"/>
                <w:szCs w:val="20"/>
              </w:rPr>
            </w:pPr>
            <w:r w:rsidRPr="003339B1">
              <w:rPr>
                <w:sz w:val="20"/>
                <w:szCs w:val="20"/>
              </w:rPr>
              <w:t>ROZWÓJ OFERTY TURYSTYCZNEJ OF OLKUSZA</w:t>
            </w:r>
          </w:p>
        </w:tc>
        <w:tc>
          <w:tcPr>
            <w:tcW w:w="1701" w:type="dxa"/>
            <w:tcBorders>
              <w:top w:val="single" w:sz="4" w:space="0" w:color="808080" w:themeColor="background1" w:themeShade="80"/>
            </w:tcBorders>
            <w:shd w:val="clear" w:color="auto" w:fill="FFFFFF" w:themeFill="background1"/>
            <w:vAlign w:val="center"/>
          </w:tcPr>
          <w:p w14:paraId="6307DB4F" w14:textId="796ED3F2" w:rsidR="00A74723" w:rsidRPr="003339B1" w:rsidRDefault="00A74723" w:rsidP="005E78A4">
            <w:pPr>
              <w:rPr>
                <w:bCs/>
                <w:sz w:val="20"/>
                <w:szCs w:val="20"/>
              </w:rPr>
            </w:pPr>
            <w:r w:rsidRPr="003339B1">
              <w:rPr>
                <w:bCs/>
                <w:sz w:val="20"/>
                <w:szCs w:val="20"/>
              </w:rPr>
              <w:t>Gmina Klucze</w:t>
            </w:r>
          </w:p>
        </w:tc>
        <w:tc>
          <w:tcPr>
            <w:tcW w:w="5246" w:type="dxa"/>
            <w:tcBorders>
              <w:top w:val="single" w:sz="4" w:space="0" w:color="808080" w:themeColor="background1" w:themeShade="80"/>
            </w:tcBorders>
            <w:shd w:val="clear" w:color="auto" w:fill="FFFFFF" w:themeFill="background1"/>
            <w:vAlign w:val="center"/>
          </w:tcPr>
          <w:p w14:paraId="3F753F2A" w14:textId="2BC5EF17" w:rsidR="00A74723" w:rsidRPr="003339B1" w:rsidRDefault="00A74723" w:rsidP="007A287A">
            <w:pPr>
              <w:jc w:val="both"/>
              <w:rPr>
                <w:bCs/>
                <w:sz w:val="20"/>
                <w:szCs w:val="20"/>
              </w:rPr>
            </w:pPr>
            <w:r w:rsidRPr="003339B1">
              <w:rPr>
                <w:bCs/>
                <w:sz w:val="20"/>
                <w:szCs w:val="20"/>
              </w:rPr>
              <w:t>Przeniesienie wieży szybowej Dąbrówka i jej aranżacja na wieżę widokową na Pustyni Błędowskiej</w:t>
            </w:r>
          </w:p>
        </w:tc>
      </w:tr>
      <w:tr w:rsidR="00A74723" w:rsidRPr="00430B35" w14:paraId="1E264DA2" w14:textId="77777777" w:rsidTr="00F35498">
        <w:trPr>
          <w:trHeight w:val="632"/>
        </w:trPr>
        <w:tc>
          <w:tcPr>
            <w:tcW w:w="1623" w:type="dxa"/>
            <w:vMerge/>
            <w:shd w:val="clear" w:color="auto" w:fill="FFFFFF" w:themeFill="background1"/>
            <w:vAlign w:val="center"/>
          </w:tcPr>
          <w:p w14:paraId="2B6240C6" w14:textId="77777777" w:rsidR="00A74723" w:rsidRPr="00430B35" w:rsidRDefault="00A74723" w:rsidP="00274C78">
            <w:pPr>
              <w:rPr>
                <w:sz w:val="20"/>
                <w:szCs w:val="20"/>
              </w:rPr>
            </w:pPr>
          </w:p>
        </w:tc>
        <w:tc>
          <w:tcPr>
            <w:tcW w:w="1418" w:type="dxa"/>
            <w:vMerge/>
            <w:tcBorders>
              <w:right w:val="single" w:sz="4" w:space="0" w:color="808080" w:themeColor="background1" w:themeShade="80"/>
            </w:tcBorders>
            <w:shd w:val="clear" w:color="auto" w:fill="FFFFFF" w:themeFill="background1"/>
            <w:vAlign w:val="center"/>
          </w:tcPr>
          <w:p w14:paraId="735BB847" w14:textId="77777777" w:rsidR="00A74723" w:rsidRPr="00430B35" w:rsidRDefault="00A74723" w:rsidP="00274C78">
            <w:pPr>
              <w:rPr>
                <w:sz w:val="20"/>
                <w:szCs w:val="20"/>
              </w:rPr>
            </w:pPr>
          </w:p>
        </w:tc>
        <w:tc>
          <w:tcPr>
            <w:tcW w:w="2268" w:type="dxa"/>
            <w:vMerge/>
            <w:tcBorders>
              <w:left w:val="single" w:sz="4" w:space="0" w:color="808080" w:themeColor="background1" w:themeShade="80"/>
              <w:right w:val="single" w:sz="4" w:space="0" w:color="808080" w:themeColor="background1" w:themeShade="80"/>
            </w:tcBorders>
            <w:shd w:val="clear" w:color="auto" w:fill="FFFFFF" w:themeFill="background1"/>
            <w:vAlign w:val="center"/>
          </w:tcPr>
          <w:p w14:paraId="20B97F85" w14:textId="77777777" w:rsidR="00A74723" w:rsidRPr="00430B35" w:rsidRDefault="00A74723" w:rsidP="003339B1">
            <w:pPr>
              <w:rPr>
                <w:sz w:val="20"/>
                <w:szCs w:val="20"/>
              </w:rPr>
            </w:pPr>
          </w:p>
        </w:tc>
        <w:tc>
          <w:tcPr>
            <w:tcW w:w="1984" w:type="dxa"/>
            <w:vMerge/>
            <w:tcBorders>
              <w:left w:val="single" w:sz="4" w:space="0" w:color="808080" w:themeColor="background1" w:themeShade="80"/>
            </w:tcBorders>
            <w:shd w:val="clear" w:color="auto" w:fill="FFFFFF" w:themeFill="background1"/>
            <w:vAlign w:val="center"/>
          </w:tcPr>
          <w:p w14:paraId="075DD162" w14:textId="77777777" w:rsidR="00A74723" w:rsidRPr="00430B35" w:rsidRDefault="00A74723" w:rsidP="005E78A4">
            <w:pPr>
              <w:rPr>
                <w:sz w:val="20"/>
                <w:szCs w:val="20"/>
              </w:rPr>
            </w:pPr>
          </w:p>
        </w:tc>
        <w:tc>
          <w:tcPr>
            <w:tcW w:w="1701" w:type="dxa"/>
            <w:shd w:val="clear" w:color="auto" w:fill="FFFFFF" w:themeFill="background1"/>
            <w:vAlign w:val="center"/>
          </w:tcPr>
          <w:p w14:paraId="35365BB1" w14:textId="637208B7" w:rsidR="00A74723" w:rsidRPr="003339B1" w:rsidRDefault="00A74723" w:rsidP="005E78A4">
            <w:pPr>
              <w:rPr>
                <w:bCs/>
                <w:sz w:val="20"/>
                <w:szCs w:val="20"/>
              </w:rPr>
            </w:pPr>
            <w:r w:rsidRPr="003339B1">
              <w:rPr>
                <w:bCs/>
                <w:sz w:val="20"/>
                <w:szCs w:val="20"/>
              </w:rPr>
              <w:t>Gmina Olkusz</w:t>
            </w:r>
          </w:p>
        </w:tc>
        <w:tc>
          <w:tcPr>
            <w:tcW w:w="5246" w:type="dxa"/>
            <w:shd w:val="clear" w:color="auto" w:fill="FFFFFF" w:themeFill="background1"/>
            <w:vAlign w:val="center"/>
          </w:tcPr>
          <w:p w14:paraId="01686CE5" w14:textId="28C539A3" w:rsidR="00A74723" w:rsidRPr="003339B1" w:rsidRDefault="00A74723" w:rsidP="007A287A">
            <w:pPr>
              <w:jc w:val="both"/>
              <w:rPr>
                <w:bCs/>
                <w:sz w:val="20"/>
                <w:szCs w:val="20"/>
              </w:rPr>
            </w:pPr>
            <w:r w:rsidRPr="003339B1">
              <w:rPr>
                <w:bCs/>
                <w:sz w:val="20"/>
                <w:szCs w:val="20"/>
              </w:rPr>
              <w:t>Gościniec rycerski u stóp zamku Rabsztyn</w:t>
            </w:r>
          </w:p>
        </w:tc>
      </w:tr>
      <w:tr w:rsidR="00A74723" w:rsidRPr="00430B35" w14:paraId="6F791D82" w14:textId="77777777" w:rsidTr="009A0BA3">
        <w:trPr>
          <w:trHeight w:val="76"/>
        </w:trPr>
        <w:tc>
          <w:tcPr>
            <w:tcW w:w="1623" w:type="dxa"/>
            <w:vMerge/>
            <w:shd w:val="clear" w:color="auto" w:fill="FFFFFF" w:themeFill="background1"/>
            <w:vAlign w:val="center"/>
          </w:tcPr>
          <w:p w14:paraId="356C3B44" w14:textId="77777777" w:rsidR="00A74723" w:rsidRPr="00430B35" w:rsidRDefault="00A74723" w:rsidP="00274C78">
            <w:pPr>
              <w:rPr>
                <w:sz w:val="20"/>
                <w:szCs w:val="20"/>
              </w:rPr>
            </w:pPr>
          </w:p>
        </w:tc>
        <w:tc>
          <w:tcPr>
            <w:tcW w:w="1418" w:type="dxa"/>
            <w:tcBorders>
              <w:right w:val="single" w:sz="4" w:space="0" w:color="808080" w:themeColor="background1" w:themeShade="80"/>
            </w:tcBorders>
            <w:shd w:val="clear" w:color="auto" w:fill="FFFFFF" w:themeFill="background1"/>
            <w:vAlign w:val="center"/>
          </w:tcPr>
          <w:p w14:paraId="0245786B" w14:textId="77777777" w:rsidR="00A74723" w:rsidRDefault="00A74723" w:rsidP="00274C78">
            <w:pPr>
              <w:rPr>
                <w:sz w:val="20"/>
                <w:szCs w:val="20"/>
              </w:rPr>
            </w:pPr>
            <w:r w:rsidRPr="00430B35">
              <w:rPr>
                <w:sz w:val="20"/>
                <w:szCs w:val="20"/>
              </w:rPr>
              <w:t xml:space="preserve">D. </w:t>
            </w:r>
          </w:p>
          <w:p w14:paraId="142A71AD" w14:textId="3E2943DD" w:rsidR="00A74723" w:rsidRPr="00430B35" w:rsidRDefault="00A74723" w:rsidP="00274C78">
            <w:pPr>
              <w:rPr>
                <w:sz w:val="20"/>
                <w:szCs w:val="20"/>
              </w:rPr>
            </w:pPr>
            <w:r w:rsidRPr="00430B35">
              <w:rPr>
                <w:sz w:val="20"/>
                <w:szCs w:val="20"/>
              </w:rPr>
              <w:t>TRASY TURYSTYCZNE</w:t>
            </w:r>
          </w:p>
        </w:tc>
        <w:tc>
          <w:tcPr>
            <w:tcW w:w="2268" w:type="dxa"/>
            <w:vMerge/>
            <w:tcBorders>
              <w:left w:val="single" w:sz="4" w:space="0" w:color="808080" w:themeColor="background1" w:themeShade="80"/>
              <w:right w:val="single" w:sz="4" w:space="0" w:color="808080" w:themeColor="background1" w:themeShade="80"/>
            </w:tcBorders>
            <w:shd w:val="clear" w:color="auto" w:fill="FFFFFF" w:themeFill="background1"/>
            <w:vAlign w:val="center"/>
          </w:tcPr>
          <w:p w14:paraId="3B57C8BF" w14:textId="77777777" w:rsidR="00A74723" w:rsidRPr="00430B35" w:rsidRDefault="00A74723" w:rsidP="003339B1">
            <w:pPr>
              <w:rPr>
                <w:sz w:val="20"/>
                <w:szCs w:val="20"/>
              </w:rPr>
            </w:pPr>
          </w:p>
        </w:tc>
        <w:tc>
          <w:tcPr>
            <w:tcW w:w="1984" w:type="dxa"/>
            <w:tcBorders>
              <w:left w:val="single" w:sz="4" w:space="0" w:color="808080" w:themeColor="background1" w:themeShade="80"/>
            </w:tcBorders>
            <w:shd w:val="clear" w:color="auto" w:fill="FFFFFF" w:themeFill="background1"/>
            <w:vAlign w:val="center"/>
          </w:tcPr>
          <w:p w14:paraId="31BD2B7E" w14:textId="776B7C3A" w:rsidR="00A74723" w:rsidRPr="00430B35" w:rsidRDefault="00A74723" w:rsidP="005E78A4">
            <w:pPr>
              <w:rPr>
                <w:sz w:val="20"/>
                <w:szCs w:val="20"/>
              </w:rPr>
            </w:pPr>
            <w:r w:rsidRPr="003339B1">
              <w:rPr>
                <w:sz w:val="20"/>
                <w:szCs w:val="20"/>
              </w:rPr>
              <w:t>ROZWÓJ SIECIOWEJ INFRASTRUKTURY TURYSTYCZNEJ OF OLKUSZA</w:t>
            </w:r>
          </w:p>
        </w:tc>
        <w:tc>
          <w:tcPr>
            <w:tcW w:w="1701" w:type="dxa"/>
            <w:shd w:val="clear" w:color="auto" w:fill="FFFFFF" w:themeFill="background1"/>
            <w:vAlign w:val="center"/>
          </w:tcPr>
          <w:p w14:paraId="09A10868" w14:textId="3EB82FE3" w:rsidR="00A74723" w:rsidRPr="003339B1" w:rsidRDefault="00A74723" w:rsidP="005E78A4">
            <w:pPr>
              <w:rPr>
                <w:bCs/>
                <w:sz w:val="20"/>
                <w:szCs w:val="20"/>
              </w:rPr>
            </w:pPr>
            <w:r w:rsidRPr="003339B1">
              <w:rPr>
                <w:bCs/>
                <w:sz w:val="20"/>
                <w:szCs w:val="20"/>
              </w:rPr>
              <w:t xml:space="preserve">Lider: Gmina </w:t>
            </w:r>
            <w:r w:rsidR="00022EFB">
              <w:rPr>
                <w:bCs/>
                <w:sz w:val="20"/>
                <w:szCs w:val="20"/>
              </w:rPr>
              <w:t>Klucze</w:t>
            </w:r>
            <w:r w:rsidRPr="003339B1">
              <w:rPr>
                <w:bCs/>
                <w:sz w:val="20"/>
                <w:szCs w:val="20"/>
              </w:rPr>
              <w:t xml:space="preserve"> </w:t>
            </w:r>
          </w:p>
          <w:p w14:paraId="413A4E06" w14:textId="37AE5B24" w:rsidR="00A74723" w:rsidRPr="003339B1" w:rsidRDefault="00A74723" w:rsidP="00022EFB">
            <w:pPr>
              <w:rPr>
                <w:bCs/>
                <w:sz w:val="20"/>
                <w:szCs w:val="20"/>
              </w:rPr>
            </w:pPr>
            <w:r w:rsidRPr="003339B1">
              <w:rPr>
                <w:bCs/>
                <w:sz w:val="20"/>
                <w:szCs w:val="20"/>
              </w:rPr>
              <w:t xml:space="preserve">Partnerzy: Gmina </w:t>
            </w:r>
            <w:r>
              <w:rPr>
                <w:bCs/>
                <w:sz w:val="20"/>
                <w:szCs w:val="20"/>
              </w:rPr>
              <w:t xml:space="preserve">Olkusz, Gmina </w:t>
            </w:r>
            <w:r w:rsidR="00022EFB">
              <w:rPr>
                <w:bCs/>
                <w:sz w:val="20"/>
                <w:szCs w:val="20"/>
              </w:rPr>
              <w:t>Bolesław</w:t>
            </w:r>
            <w:r>
              <w:rPr>
                <w:bCs/>
                <w:sz w:val="20"/>
                <w:szCs w:val="20"/>
              </w:rPr>
              <w:t>, Partner</w:t>
            </w:r>
          </w:p>
        </w:tc>
        <w:tc>
          <w:tcPr>
            <w:tcW w:w="5246" w:type="dxa"/>
            <w:shd w:val="clear" w:color="auto" w:fill="FFFFFF" w:themeFill="background1"/>
            <w:vAlign w:val="center"/>
          </w:tcPr>
          <w:p w14:paraId="74D0206E" w14:textId="00784B70" w:rsidR="00A74723" w:rsidRPr="003339B1" w:rsidRDefault="00A74723" w:rsidP="007A287A">
            <w:pPr>
              <w:jc w:val="both"/>
              <w:rPr>
                <w:bCs/>
                <w:sz w:val="20"/>
                <w:szCs w:val="20"/>
              </w:rPr>
            </w:pPr>
            <w:r w:rsidRPr="00E3785C">
              <w:rPr>
                <w:bCs/>
                <w:sz w:val="20"/>
                <w:szCs w:val="20"/>
              </w:rPr>
              <w:t>Szlak turystyczny „Śladami dawnego górnictwa Ziemi Olkusko-Bolesławskiej”</w:t>
            </w:r>
          </w:p>
        </w:tc>
      </w:tr>
      <w:tr w:rsidR="00274C78" w:rsidRPr="00430B35" w14:paraId="7C0A2F7F" w14:textId="77777777" w:rsidTr="00F35498">
        <w:trPr>
          <w:trHeight w:val="76"/>
        </w:trPr>
        <w:tc>
          <w:tcPr>
            <w:tcW w:w="1623" w:type="dxa"/>
            <w:vMerge/>
            <w:shd w:val="clear" w:color="auto" w:fill="FFFFFF" w:themeFill="background1"/>
            <w:vAlign w:val="center"/>
          </w:tcPr>
          <w:p w14:paraId="4CB60671" w14:textId="77777777" w:rsidR="00274C78" w:rsidRPr="00430B35" w:rsidRDefault="00274C78" w:rsidP="00274C78">
            <w:pPr>
              <w:rPr>
                <w:sz w:val="20"/>
                <w:szCs w:val="20"/>
              </w:rPr>
            </w:pPr>
          </w:p>
        </w:tc>
        <w:tc>
          <w:tcPr>
            <w:tcW w:w="1418" w:type="dxa"/>
            <w:vMerge w:val="restart"/>
            <w:tcBorders>
              <w:right w:val="single" w:sz="4" w:space="0" w:color="808080" w:themeColor="background1" w:themeShade="80"/>
            </w:tcBorders>
            <w:shd w:val="clear" w:color="auto" w:fill="FFFFFF" w:themeFill="background1"/>
            <w:vAlign w:val="center"/>
          </w:tcPr>
          <w:p w14:paraId="7E21EAE6" w14:textId="339DD07B" w:rsidR="00274C78" w:rsidRPr="00430B35" w:rsidRDefault="00274C78" w:rsidP="00274C78">
            <w:pPr>
              <w:rPr>
                <w:sz w:val="20"/>
                <w:szCs w:val="20"/>
              </w:rPr>
            </w:pPr>
            <w:r w:rsidRPr="00430B35">
              <w:rPr>
                <w:sz w:val="20"/>
                <w:szCs w:val="20"/>
              </w:rPr>
              <w:t>A. INFRASTRUKTURA KULTURY</w:t>
            </w:r>
          </w:p>
        </w:tc>
        <w:tc>
          <w:tcPr>
            <w:tcW w:w="2268" w:type="dxa"/>
            <w:vMerge w:val="restart"/>
            <w:tcBorders>
              <w:top w:val="single" w:sz="4" w:space="0" w:color="FFFFFF" w:themeColor="background1"/>
              <w:left w:val="single" w:sz="4" w:space="0" w:color="808080" w:themeColor="background1" w:themeShade="80"/>
              <w:right w:val="single" w:sz="4" w:space="0" w:color="808080" w:themeColor="background1" w:themeShade="80"/>
            </w:tcBorders>
            <w:shd w:val="clear" w:color="auto" w:fill="FFFFFF" w:themeFill="background1"/>
            <w:vAlign w:val="center"/>
          </w:tcPr>
          <w:p w14:paraId="763D6F30" w14:textId="41677F5D" w:rsidR="00274C78" w:rsidRPr="00430B35" w:rsidRDefault="00274C78" w:rsidP="00274C78">
            <w:pPr>
              <w:rPr>
                <w:sz w:val="20"/>
                <w:szCs w:val="20"/>
              </w:rPr>
            </w:pPr>
            <w:r w:rsidRPr="008749B3">
              <w:rPr>
                <w:sz w:val="20"/>
                <w:szCs w:val="20"/>
              </w:rPr>
              <w:t>2 CEL IIT Rozbudowa oferty kulturalnej w obszarze funkcjonalnym Olkusza i podniesienie poziomu jej dostępności</w:t>
            </w:r>
          </w:p>
        </w:tc>
        <w:tc>
          <w:tcPr>
            <w:tcW w:w="1984" w:type="dxa"/>
            <w:vMerge w:val="restart"/>
            <w:tcBorders>
              <w:left w:val="single" w:sz="4" w:space="0" w:color="808080" w:themeColor="background1" w:themeShade="80"/>
            </w:tcBorders>
            <w:shd w:val="clear" w:color="auto" w:fill="FFFFFF" w:themeFill="background1"/>
            <w:vAlign w:val="center"/>
          </w:tcPr>
          <w:p w14:paraId="2DDF8B89" w14:textId="53E11436" w:rsidR="00274C78" w:rsidRPr="00430B35" w:rsidRDefault="00274C78" w:rsidP="00274C78">
            <w:pPr>
              <w:rPr>
                <w:sz w:val="20"/>
                <w:szCs w:val="20"/>
              </w:rPr>
            </w:pPr>
            <w:r w:rsidRPr="00274C78">
              <w:rPr>
                <w:sz w:val="20"/>
                <w:szCs w:val="20"/>
              </w:rPr>
              <w:t>ROZWÓJ OFERTY KULTURALNEJ OF OLKUSZA</w:t>
            </w:r>
          </w:p>
        </w:tc>
        <w:tc>
          <w:tcPr>
            <w:tcW w:w="1701" w:type="dxa"/>
            <w:shd w:val="clear" w:color="auto" w:fill="FFFFFF" w:themeFill="background1"/>
            <w:vAlign w:val="center"/>
          </w:tcPr>
          <w:p w14:paraId="73F8CD6D" w14:textId="1247E690" w:rsidR="00274C78" w:rsidRPr="00430B35" w:rsidRDefault="00274C78" w:rsidP="00274C78">
            <w:pPr>
              <w:rPr>
                <w:sz w:val="20"/>
                <w:szCs w:val="20"/>
              </w:rPr>
            </w:pPr>
            <w:r w:rsidRPr="005E78A4">
              <w:rPr>
                <w:sz w:val="20"/>
                <w:szCs w:val="20"/>
              </w:rPr>
              <w:t>Gmina Klucze</w:t>
            </w:r>
          </w:p>
        </w:tc>
        <w:tc>
          <w:tcPr>
            <w:tcW w:w="5246" w:type="dxa"/>
            <w:shd w:val="clear" w:color="auto" w:fill="FFFFFF" w:themeFill="background1"/>
            <w:vAlign w:val="center"/>
          </w:tcPr>
          <w:p w14:paraId="2AEDB374" w14:textId="297F2914" w:rsidR="00274C78" w:rsidRPr="00430B35" w:rsidRDefault="00274C78" w:rsidP="007A287A">
            <w:pPr>
              <w:jc w:val="both"/>
              <w:rPr>
                <w:sz w:val="20"/>
                <w:szCs w:val="20"/>
              </w:rPr>
            </w:pPr>
            <w:r w:rsidRPr="005E78A4">
              <w:rPr>
                <w:sz w:val="20"/>
                <w:szCs w:val="20"/>
              </w:rPr>
              <w:t>Poprawa funkcjonalności Domu Kultury „Papiernik” w Kluczach poprzez rozbudowę sali widowiskowej o funkcje kina</w:t>
            </w:r>
          </w:p>
        </w:tc>
      </w:tr>
      <w:tr w:rsidR="00274C78" w:rsidRPr="00430B35" w14:paraId="53A1B6BD" w14:textId="77777777" w:rsidTr="00F35498">
        <w:trPr>
          <w:trHeight w:val="157"/>
        </w:trPr>
        <w:tc>
          <w:tcPr>
            <w:tcW w:w="1623" w:type="dxa"/>
            <w:vMerge/>
            <w:shd w:val="clear" w:color="auto" w:fill="FFFFFF" w:themeFill="background1"/>
            <w:vAlign w:val="center"/>
          </w:tcPr>
          <w:p w14:paraId="2552E1F9" w14:textId="77777777" w:rsidR="00274C78" w:rsidRPr="00430B35" w:rsidRDefault="00274C78" w:rsidP="00274C78">
            <w:pPr>
              <w:rPr>
                <w:sz w:val="20"/>
                <w:szCs w:val="20"/>
              </w:rPr>
            </w:pPr>
          </w:p>
        </w:tc>
        <w:tc>
          <w:tcPr>
            <w:tcW w:w="1418" w:type="dxa"/>
            <w:vMerge/>
            <w:tcBorders>
              <w:right w:val="single" w:sz="4" w:space="0" w:color="808080" w:themeColor="background1" w:themeShade="80"/>
            </w:tcBorders>
            <w:shd w:val="clear" w:color="auto" w:fill="FFFFFF" w:themeFill="background1"/>
            <w:vAlign w:val="center"/>
          </w:tcPr>
          <w:p w14:paraId="4A80EE82" w14:textId="461D3993" w:rsidR="00274C78" w:rsidRPr="00430B35" w:rsidRDefault="00274C78" w:rsidP="00274C78">
            <w:pPr>
              <w:rPr>
                <w:sz w:val="20"/>
                <w:szCs w:val="20"/>
              </w:rPr>
            </w:pPr>
          </w:p>
        </w:tc>
        <w:tc>
          <w:tcPr>
            <w:tcW w:w="2268"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4AC392" w14:textId="44043002" w:rsidR="00274C78" w:rsidRPr="00430B35" w:rsidRDefault="00274C78" w:rsidP="00274C78">
            <w:pPr>
              <w:rPr>
                <w:b/>
                <w:bCs/>
                <w:sz w:val="20"/>
                <w:szCs w:val="20"/>
              </w:rPr>
            </w:pPr>
          </w:p>
        </w:tc>
        <w:tc>
          <w:tcPr>
            <w:tcW w:w="1984" w:type="dxa"/>
            <w:vMerge/>
            <w:tcBorders>
              <w:left w:val="single" w:sz="4" w:space="0" w:color="808080" w:themeColor="background1" w:themeShade="80"/>
            </w:tcBorders>
            <w:shd w:val="clear" w:color="auto" w:fill="FFFFFF" w:themeFill="background1"/>
            <w:vAlign w:val="center"/>
          </w:tcPr>
          <w:p w14:paraId="023DA9C9" w14:textId="50F3EC7D" w:rsidR="00274C78" w:rsidRPr="00430B35" w:rsidRDefault="00274C78" w:rsidP="00274C78">
            <w:pPr>
              <w:rPr>
                <w:sz w:val="20"/>
                <w:szCs w:val="20"/>
              </w:rPr>
            </w:pPr>
          </w:p>
        </w:tc>
        <w:tc>
          <w:tcPr>
            <w:tcW w:w="1701" w:type="dxa"/>
            <w:shd w:val="clear" w:color="auto" w:fill="FFFFFF" w:themeFill="background1"/>
            <w:vAlign w:val="center"/>
          </w:tcPr>
          <w:p w14:paraId="44C8C565" w14:textId="6B64DB68" w:rsidR="00274C78" w:rsidRPr="00430B35" w:rsidRDefault="00274C78" w:rsidP="00274C78">
            <w:pPr>
              <w:rPr>
                <w:sz w:val="20"/>
                <w:szCs w:val="20"/>
              </w:rPr>
            </w:pPr>
            <w:r w:rsidRPr="005E78A4">
              <w:rPr>
                <w:sz w:val="20"/>
                <w:szCs w:val="20"/>
              </w:rPr>
              <w:t>Gmina Bolesław</w:t>
            </w:r>
          </w:p>
        </w:tc>
        <w:tc>
          <w:tcPr>
            <w:tcW w:w="5246" w:type="dxa"/>
            <w:shd w:val="clear" w:color="auto" w:fill="FFFFFF" w:themeFill="background1"/>
            <w:vAlign w:val="center"/>
          </w:tcPr>
          <w:p w14:paraId="654999E4" w14:textId="56CD9007" w:rsidR="00274C78" w:rsidRPr="00430B35" w:rsidRDefault="00A63813" w:rsidP="007A287A">
            <w:pPr>
              <w:jc w:val="both"/>
              <w:rPr>
                <w:sz w:val="20"/>
                <w:szCs w:val="20"/>
              </w:rPr>
            </w:pPr>
            <w:r w:rsidRPr="00A63813">
              <w:rPr>
                <w:sz w:val="20"/>
                <w:szCs w:val="20"/>
              </w:rPr>
              <w:t>Remont i doposażenie zabytkowego dworku w Bolesławiu, na potrzeby rozwoju działalności Centrum Kultury</w:t>
            </w:r>
          </w:p>
        </w:tc>
      </w:tr>
    </w:tbl>
    <w:p w14:paraId="35781304" w14:textId="77777777" w:rsidR="00C43154" w:rsidRDefault="00C43154" w:rsidP="00A76699">
      <w:pPr>
        <w:spacing w:line="360" w:lineRule="auto"/>
        <w:jc w:val="both"/>
        <w:rPr>
          <w:b/>
        </w:rPr>
        <w:sectPr w:rsidR="00C43154" w:rsidSect="00C43154">
          <w:pgSz w:w="16838" w:h="11906" w:orient="landscape"/>
          <w:pgMar w:top="1418" w:right="1418" w:bottom="1418" w:left="1418" w:header="709" w:footer="709" w:gutter="0"/>
          <w:cols w:space="708"/>
          <w:docGrid w:linePitch="360"/>
        </w:sectPr>
      </w:pPr>
    </w:p>
    <w:p w14:paraId="4B467A55" w14:textId="03FEB2F5" w:rsidR="00773FCD" w:rsidRDefault="00773FCD" w:rsidP="00352CB8">
      <w:pPr>
        <w:spacing w:before="240" w:line="360" w:lineRule="auto"/>
        <w:jc w:val="both"/>
        <w:rPr>
          <w:b/>
        </w:rPr>
      </w:pPr>
      <w:r w:rsidRPr="00773FCD">
        <w:rPr>
          <w:b/>
        </w:rPr>
        <w:t>Charakterystyka i uzasadnienie projektów</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E6F6" w:themeFill="accent6" w:themeFillTint="33"/>
        <w:tblLook w:val="04A0" w:firstRow="1" w:lastRow="0" w:firstColumn="1" w:lastColumn="0" w:noHBand="0" w:noVBand="1"/>
      </w:tblPr>
      <w:tblGrid>
        <w:gridCol w:w="9062"/>
      </w:tblGrid>
      <w:tr w:rsidR="004B6174" w14:paraId="1FA8F9C2" w14:textId="77777777" w:rsidTr="004B6174">
        <w:tc>
          <w:tcPr>
            <w:tcW w:w="9062" w:type="dxa"/>
            <w:shd w:val="clear" w:color="auto" w:fill="D0E6F6" w:themeFill="accent6" w:themeFillTint="33"/>
          </w:tcPr>
          <w:p w14:paraId="33214D8D" w14:textId="225B0443" w:rsidR="004B6174" w:rsidRDefault="004B6174" w:rsidP="004B6174">
            <w:pPr>
              <w:spacing w:before="120" w:after="120"/>
              <w:jc w:val="both"/>
              <w:rPr>
                <w:b/>
              </w:rPr>
            </w:pPr>
            <w:r>
              <w:rPr>
                <w:b/>
              </w:rPr>
              <w:t>PZ 1. ROZWÓJ OFERTY TURYSTYCZNEJ</w:t>
            </w:r>
            <w:r w:rsidRPr="00D15EC1">
              <w:rPr>
                <w:b/>
              </w:rPr>
              <w:t xml:space="preserve"> </w:t>
            </w:r>
            <w:r>
              <w:rPr>
                <w:b/>
              </w:rPr>
              <w:t>OF OLKUSZA</w:t>
            </w:r>
          </w:p>
        </w:tc>
      </w:tr>
    </w:tbl>
    <w:p w14:paraId="5D242051" w14:textId="77FFE1D5" w:rsidR="00773FCD" w:rsidRDefault="008749B3" w:rsidP="004B6174">
      <w:pPr>
        <w:spacing w:before="240" w:after="0" w:line="360" w:lineRule="auto"/>
        <w:jc w:val="both"/>
      </w:pPr>
      <w:r w:rsidRPr="008749B3">
        <w:t xml:space="preserve">W ramach </w:t>
      </w:r>
      <w:r>
        <w:t>1 Celu IIT wypracowano 2 przedsięwzięcia zintegrowane skupione na wzmocnieniu funkcji turystycznych OF Olkusza poprzez rozszerzenie i podniesienie jakości oferty turysty</w:t>
      </w:r>
      <w:r w:rsidR="00C141D5">
        <w:t xml:space="preserve">cznej. Pierwsze przedsięwzięcie </w:t>
      </w:r>
      <w:r>
        <w:t>skupione jest na rozwoju ponadlokalnych atrakcji turystycznych, tj. Pustyni Błędowskiej oraz Zamku Rabsztyn, które rokrocznie przyciągają do regionu tysiące turystów.</w:t>
      </w:r>
      <w:r w:rsidR="00C141D5">
        <w:t xml:space="preserve"> W ramach IIT zaplanowano następujące zadania: </w:t>
      </w:r>
    </w:p>
    <w:p w14:paraId="0B3D536D" w14:textId="164B93F5" w:rsidR="00C141D5" w:rsidRDefault="00C141D5" w:rsidP="004B6174">
      <w:pPr>
        <w:pStyle w:val="Akapitzlist"/>
        <w:numPr>
          <w:ilvl w:val="0"/>
          <w:numId w:val="3"/>
        </w:numPr>
        <w:spacing w:line="360" w:lineRule="auto"/>
        <w:ind w:left="714" w:hanging="357"/>
        <w:jc w:val="both"/>
      </w:pPr>
      <w:r w:rsidRPr="00C141D5">
        <w:t>Przeniesienie wieży szybowej Dąbrówka i jej aranżacja na wieżę widokową na Pustyni Błędowskiej</w:t>
      </w:r>
      <w:r>
        <w:t>,</w:t>
      </w:r>
    </w:p>
    <w:p w14:paraId="204FD571" w14:textId="4EDF0F64" w:rsidR="00C141D5" w:rsidRDefault="00C141D5" w:rsidP="00C141D5">
      <w:pPr>
        <w:pStyle w:val="Akapitzlist"/>
        <w:numPr>
          <w:ilvl w:val="0"/>
          <w:numId w:val="3"/>
        </w:numPr>
        <w:spacing w:before="240" w:line="360" w:lineRule="auto"/>
        <w:jc w:val="both"/>
      </w:pPr>
      <w:r w:rsidRPr="00C141D5">
        <w:t>Gościniec rycerski u stóp zamku Rabsztyn</w:t>
      </w:r>
      <w:r>
        <w:t>.</w:t>
      </w:r>
    </w:p>
    <w:p w14:paraId="6E38DB8D" w14:textId="77777777" w:rsidR="00C141D5" w:rsidRPr="00C141D5" w:rsidRDefault="00C141D5" w:rsidP="004B6174">
      <w:pPr>
        <w:spacing w:before="240" w:after="0" w:line="360" w:lineRule="auto"/>
        <w:jc w:val="both"/>
        <w:rPr>
          <w:b/>
        </w:rPr>
      </w:pPr>
      <w:r w:rsidRPr="00C141D5">
        <w:rPr>
          <w:b/>
        </w:rPr>
        <w:t>Przeniesienie wieży szybowej Dąbrówka i jej aranżacja na wieżę widokową na Pustyni Błędowskiej</w:t>
      </w:r>
    </w:p>
    <w:p w14:paraId="75772666" w14:textId="77777777" w:rsidR="00C141D5" w:rsidRDefault="00C141D5" w:rsidP="00761555">
      <w:pPr>
        <w:spacing w:line="360" w:lineRule="auto"/>
        <w:jc w:val="both"/>
      </w:pPr>
      <w:r>
        <w:t>Pustynia Błędowska, stanowiąca fenomen przyrodniczy w regionie, jest jedną z głównych atrakcji OF Olkusza. Jest to największy w Polsce obszar lotnych piasków (zajmuje powierzchnię ok. 32 km²), położony również na terenie Parku Krajobrazowego Orlich Gniazd. Ze względu na te walory, Pustynia jest atrakcyjnym miejscem sprzyjającym wędrówkom pieszym, a nawet konnym i rokrocznie przyciąga wielu turystów nie tylko z regionu, ale całego kraju. Przez jej teren przebiega Żółty Szlak Pustynny łączący Błędów z Ryczowem, a także Transjurajski Szlak Konny.</w:t>
      </w:r>
    </w:p>
    <w:p w14:paraId="77090AF7" w14:textId="364D1C04" w:rsidR="00C141D5" w:rsidRDefault="00C141D5" w:rsidP="00761555">
      <w:pPr>
        <w:spacing w:line="360" w:lineRule="auto"/>
        <w:jc w:val="both"/>
      </w:pPr>
      <w:r>
        <w:t>Na terenie Pustyni Błędowskiej ma miejsce szereg fenomenów przyrodniczych, do których dostęp częściowo jest bezpośredni (walory krajobrazowe), a do części – znacząco ograniczony. Do zasobów takich zaliczają się np. skamieniałości jurajskie, utwory krasowe, endemiczna flora i fauna oraz inne zjawiska przyrodnicze, które nie dają się zaobserwować bezpośrednio. Zasoby te wymagają budowy odpowiedniej infrastruktury, dzięki której byłaby możliwość udostępnienia ich zwiedzającym, a także utworzenia atrakcyjnej warstwy informacyjnej umożliwiającej pr</w:t>
      </w:r>
      <w:r w:rsidR="004B6174">
        <w:t>omocję oraz edukację turystów w </w:t>
      </w:r>
      <w:r>
        <w:t>zakresie ochrony cennych walorów. Wieża widokowa zlokalizowana w obrębie Pustyni umożliwi zwiedzającym obserwację jej walorów przyrodniczych z góry, ograniczając przy tym zagrożenie degradacji terenu spowodowanej nadmiernym ruchem turystycznym i bezpośrednią eksploracją terenu.</w:t>
      </w:r>
      <w:r w:rsidR="00BE6542">
        <w:t xml:space="preserve"> </w:t>
      </w:r>
    </w:p>
    <w:p w14:paraId="01489393" w14:textId="27FFA705" w:rsidR="00C141D5" w:rsidRDefault="00C141D5" w:rsidP="00761555">
      <w:pPr>
        <w:spacing w:line="360" w:lineRule="auto"/>
        <w:jc w:val="both"/>
      </w:pPr>
      <w:r w:rsidRPr="005E3405">
        <w:t>Inwestycja przeniesienia wieży i dostosowania jej do ruchu turystycznego jest częścią wię</w:t>
      </w:r>
      <w:r>
        <w:t xml:space="preserve">kszego zamierzenia Gminy Klucze ukierunkowanego na rozwijanie kompleksowej wielofunkcyjnej strefy aktywności turystycznej skoncentrowanej wokół Pustyni Błędowskiej, stanowiącej ponadlokalną atrakcję turystyczną. </w:t>
      </w:r>
      <w:r w:rsidRPr="005E3405">
        <w:t xml:space="preserve">Zamierzenie to polega w głównej mierze na udostępnieniu zasobów przyrodniczych, kulturowych i historycznych szerokiemu odbiorcy, co </w:t>
      </w:r>
      <w:r w:rsidR="004B6174">
        <w:t>do tej pory się nie wydarzało w </w:t>
      </w:r>
      <w:r w:rsidRPr="005E3405">
        <w:t>zadowalającej skali</w:t>
      </w:r>
      <w:r w:rsidR="0036331E">
        <w:t>,</w:t>
      </w:r>
      <w:r w:rsidRPr="005E3405">
        <w:t xml:space="preserve"> właśnie ze względu na brak infrastruktury oraz odpowiednio sformułowanego przekazu. </w:t>
      </w:r>
      <w:r>
        <w:t xml:space="preserve">Lokalizacja wieży widokowej w obrębie Pustyni Błędowskiej jest pierwszym etapem, natomiast w kolejnych latach Gmina Klucze planuje szereg inwestycji do realizacji poza IIT, w tym m.in. </w:t>
      </w:r>
      <w:r w:rsidRPr="005E3405">
        <w:t xml:space="preserve">budowę </w:t>
      </w:r>
      <w:r>
        <w:t>w sąsiedztwie wieży</w:t>
      </w:r>
      <w:r w:rsidRPr="005E3405">
        <w:t xml:space="preserve"> centrum informacji o Pustyni Błędowskiej oraz sieci ścieżek pieszo rowerowych umożliwiających bezpośrednią komunikację pomiędzy głównymi punktami koncentracji turystów (Róża Wiatrów, Czubatka w Kluczach, wzgórze Dąbrówka w Chechle). Wieża widokowa jako obiekt umiejscowiony na skrzyżowaniu dróg pieszych i rowerowych łączących w/w miejsca ma stanowić punkt spajający wszystkie kanały komunikacji, a także umożliwić szeroki ogląd doliny rzeki Biała Przemsza, która w chwili obecnej jest niewidoczna z żadnego punktu koncentracji turystów.</w:t>
      </w:r>
      <w:r w:rsidR="00BE6542">
        <w:t xml:space="preserve"> Ponadto, projekt rozwiąże problem niskiego stopnia dostępności walorów Pustyni Będkowskiej dla osób ze szczególnymi potrzebami, w tym przede wszystkim osób z niepełnosprawnościami. Ze względu na </w:t>
      </w:r>
      <w:r w:rsidR="00BE6542" w:rsidRPr="00BE6542">
        <w:t xml:space="preserve">specyficzne uwarunkowania terenowe i geomorfologiczne, </w:t>
      </w:r>
      <w:r w:rsidR="00BE6542">
        <w:t xml:space="preserve">teren ten jest trudny, a nawet niebezpieczny dla osób mających problemy z poruszaniem się – obserwacja z góry (z wieży widokowej) z pewnością pozwoliłaby takim osobom zapoznanie się z zasobami terenu. </w:t>
      </w:r>
      <w:r w:rsidR="009A2E50">
        <w:t xml:space="preserve">Umożliwi to odpowiednie dostosowanie wieży i wyposażenie jej w windę. </w:t>
      </w:r>
      <w:r w:rsidR="00BE6542">
        <w:t xml:space="preserve">Ponadto, element zwiększający dostępność będą stanowiły tablice informacyjne dostosowane pod względem potrzeb osób niewidomych lub niedowidzących (zastosowanie odpowiedniej czcionki, kolorystyki, tłumaczenie </w:t>
      </w:r>
      <w:r w:rsidR="00BE6542" w:rsidRPr="00BE6542">
        <w:t>na alfabet Braille’a).</w:t>
      </w:r>
    </w:p>
    <w:p w14:paraId="62E49B28" w14:textId="77777777" w:rsidR="00C141D5" w:rsidRDefault="00C141D5" w:rsidP="00761555">
      <w:pPr>
        <w:spacing w:line="360" w:lineRule="auto"/>
        <w:jc w:val="both"/>
      </w:pPr>
      <w:r>
        <w:t>Projekt stanowi element integrujący ofertę turystyczną OF Olkusza – bazuje bowiem na kluczowych potencjałach Obszaru: walorach przyrodniczo-krajobrazowych (Pustynia Błędowska, walory Jury Krakowsko-Częstochowskiej) oraz historyczno-kulturowych (dziedzictwo przemysłowe, historia górnictwa na Ziemi Olkuskiej).</w:t>
      </w:r>
    </w:p>
    <w:p w14:paraId="720CF09A" w14:textId="77214B7C" w:rsidR="00C141D5" w:rsidRDefault="00C141D5" w:rsidP="00761555">
      <w:pPr>
        <w:spacing w:before="240" w:line="360" w:lineRule="auto"/>
        <w:jc w:val="both"/>
      </w:pPr>
      <w:r>
        <w:t xml:space="preserve">W ramach Strategii IIT wieża zostanie włączona w szlak </w:t>
      </w:r>
      <w:r w:rsidRPr="006902F8">
        <w:t>„Śladami dawn</w:t>
      </w:r>
      <w:r>
        <w:t>ego górnictwa  Ziemi Olkuskiej” planowany do realizacji w formule partnerskiej. Dzięki temu możliwe będzie wykorzystanie potencjału natężenia ruchu turystycznego kumulującego się obecnie w obrębie Pustyni Błędowskiej oraz rozproszenie go i ukierunkowanie na inne, niedostatecznie odkryte do tej pory miejsca zlokalizowane na terenie gmin: Bolesław i Olkusz.</w:t>
      </w:r>
    </w:p>
    <w:p w14:paraId="79683B52" w14:textId="6F3C3401" w:rsidR="00C141D5" w:rsidRPr="00C141D5" w:rsidRDefault="00C141D5" w:rsidP="004B6174">
      <w:pPr>
        <w:spacing w:before="240" w:after="0" w:line="360" w:lineRule="auto"/>
        <w:jc w:val="both"/>
        <w:rPr>
          <w:b/>
        </w:rPr>
      </w:pPr>
      <w:r w:rsidRPr="00C141D5">
        <w:rPr>
          <w:b/>
        </w:rPr>
        <w:t>Gościniec rycerski u stóp zamku Rabsztyn</w:t>
      </w:r>
    </w:p>
    <w:p w14:paraId="3D3EF816" w14:textId="2D7CF69C" w:rsidR="00C141D5" w:rsidRDefault="00C141D5" w:rsidP="00761555">
      <w:pPr>
        <w:spacing w:line="360" w:lineRule="auto"/>
        <w:jc w:val="both"/>
      </w:pPr>
      <w:r>
        <w:t>Zamek Rabsztyn (gm. Olkusz), ze względu na wysokie walory history</w:t>
      </w:r>
      <w:r w:rsidR="004B6174">
        <w:t>czno-kulturowe, włączony jest w </w:t>
      </w:r>
      <w:r>
        <w:t xml:space="preserve">Szlak Orlich Gniazd, stanowiący atrakcję turystyczną o znaczeniu ponadlokalnym – przebiega on bowiem przez dwa województwa (małopolskie i śląskie) i </w:t>
      </w:r>
      <w:r w:rsidR="00FE1E0B">
        <w:t>rokrocznie</w:t>
      </w:r>
      <w:r w:rsidR="004B6174">
        <w:t xml:space="preserve"> przyciąga turystów nie tylko z </w:t>
      </w:r>
      <w:r w:rsidR="00FE1E0B">
        <w:t xml:space="preserve">regionu, ale całego kraju, a nawet zza granicy. </w:t>
      </w:r>
      <w:r w:rsidR="000B063A">
        <w:t>Według danych gro</w:t>
      </w:r>
      <w:r w:rsidR="004B6174">
        <w:t>madzonych przez Gminę Olkusz, w </w:t>
      </w:r>
      <w:r w:rsidR="000B063A">
        <w:t>2023 r. Zamek odwiedziło ponad 59 000 osób, co świadczy o dużym zainteresowaniu tego typu ofertą.</w:t>
      </w:r>
    </w:p>
    <w:p w14:paraId="19FB897F" w14:textId="77777777" w:rsidR="00C141D5" w:rsidRDefault="00C141D5" w:rsidP="00761555">
      <w:pPr>
        <w:spacing w:line="360" w:lineRule="auto"/>
        <w:jc w:val="both"/>
      </w:pPr>
      <w:r w:rsidRPr="00C141D5">
        <w:t>W ramach proje</w:t>
      </w:r>
      <w:r>
        <w:t xml:space="preserve">ktu planowane jest stworzenie </w:t>
      </w:r>
      <w:r w:rsidRPr="00C141D5">
        <w:t>Gościńca rycerskiego u stóp zamku Rabsztyn, który zostanie zorganizowany w formie "survivalowego" obozowiska wyposażonego w historyczne średniowieczne namioty. Planowane jest zagospodarowanie wzgórza zamkowego na potrzeby ruc</w:t>
      </w:r>
      <w:r>
        <w:t xml:space="preserve">hu turystycznego w oparciu o </w:t>
      </w:r>
      <w:r w:rsidRPr="00C141D5">
        <w:t>lokalizację punktów wypo</w:t>
      </w:r>
      <w:r>
        <w:t xml:space="preserve">czynkowych (ławy ze stolikami), </w:t>
      </w:r>
      <w:r w:rsidRPr="00C141D5">
        <w:t>wioski ry</w:t>
      </w:r>
      <w:r>
        <w:t xml:space="preserve">cerskiej (niezbędne instalacje), ogrodzenia rycerskiego, a także </w:t>
      </w:r>
      <w:r w:rsidRPr="00C141D5">
        <w:t xml:space="preserve">rozbudowa istniejącego budynku sanitariatów wraz z niezbędną infrastrukturą i mediami. </w:t>
      </w:r>
    </w:p>
    <w:p w14:paraId="099E4094" w14:textId="40B4B8ED" w:rsidR="00011489" w:rsidRDefault="00B6338E" w:rsidP="00761555">
      <w:pPr>
        <w:spacing w:line="360" w:lineRule="auto"/>
        <w:jc w:val="both"/>
      </w:pPr>
      <w:r>
        <w:t>Projekt stanowi element integrujący ofertę turystyczną OF Olkusza – bazuje bowiem na kluczowych potencjałach Obszaru: walorach przyrodniczo-krajobrazowych (walory Jury Krakowsko-Częstochowskiej) oraz historyczno-kulturowych (średniowieczna architektura, dziedzictwo przemysłowe, historia górnictwa na Ziemi Olkuskiej).</w:t>
      </w:r>
      <w:r w:rsidR="008C1DD1">
        <w:t xml:space="preserve"> </w:t>
      </w:r>
      <w:r w:rsidR="00F91874" w:rsidRPr="00F91874">
        <w:t xml:space="preserve">Zamek Rabsztyn, to nie tylko sama budowla obronna, ale także siedziba królewskiego starostwa niegrodowego </w:t>
      </w:r>
      <w:r w:rsidR="004B6174">
        <w:t>obejmującego kilkanaście wsi. W </w:t>
      </w:r>
      <w:r w:rsidR="00F91874" w:rsidRPr="00F91874">
        <w:t>kilku z nich była prowadzona eksploatacja górnicza.</w:t>
      </w:r>
      <w:r w:rsidR="00F91874">
        <w:t xml:space="preserve"> </w:t>
      </w:r>
      <w:r w:rsidR="00F91874" w:rsidRPr="00F91874">
        <w:t xml:space="preserve">Starostowie rabsztyńscy mieli prawo do czerpania dochodów z ceł pobieranych w Olkuszu, a także mieli prawo eksploatacji kruszców na terenie starostwa. Już na początku XV wieku w Pomorzanach, które wchodziły w skład starostwa rabsztyńskiego działała huta nad rzeczką Białą. Od wspomnianej huty zawdzięcza swoją nazwę miejscowość Hutki. Na terenie starostwa rabsztyńskiego, w 1502 roku </w:t>
      </w:r>
      <w:r w:rsidR="0036331E">
        <w:t>funkcjonowała</w:t>
      </w:r>
      <w:r w:rsidR="00F91874" w:rsidRPr="00F91874">
        <w:t xml:space="preserve"> również huta należąca do rajcy krakowskiego Jana Borka. Niektórzy starostowie rabsztyńscy podejmowali dział</w:t>
      </w:r>
      <w:r w:rsidR="004B6174">
        <w:t>alność górniczą i </w:t>
      </w:r>
      <w:r w:rsidR="00F91874" w:rsidRPr="00F91874">
        <w:t>pełnili ważne funkcj</w:t>
      </w:r>
      <w:r w:rsidR="00F91874">
        <w:t xml:space="preserve">e w zarządzie olkuskich kopalni. </w:t>
      </w:r>
      <w:r w:rsidR="00E05730">
        <w:t xml:space="preserve">Zamek Rabsztyn jest </w:t>
      </w:r>
      <w:r w:rsidR="00E5174C">
        <w:t xml:space="preserve">świadkiem wielu znaczących wydarzeń historycznych, w tym np. starcia zbrojnego między zwolennikami arcyksięcia austriackiego Maksymiliana III Habsburga a stronnikami Zygmunta III Wazy, wspieranymi przez Jana Zamoyskiego. Pod zamkiem w Rabsztynie oddziały zamkowe przy wsparciu olkuskich górników, zorganizowały skuteczną zasadzkę na posiłki Maksymiliana, które zmierzały do obleganego Krakowa. Udało się wówczas pojmać wielu jeńców i zdobyć austriackie tabory. </w:t>
      </w:r>
    </w:p>
    <w:p w14:paraId="38E8206A" w14:textId="36ECB71D" w:rsidR="00E5174C" w:rsidRDefault="00E5174C" w:rsidP="00761555">
      <w:pPr>
        <w:spacing w:line="360" w:lineRule="auto"/>
        <w:jc w:val="both"/>
      </w:pPr>
      <w:r>
        <w:t>Te niedostatecznie znane szerszej grupie odbiorców</w:t>
      </w:r>
      <w:r w:rsidR="003D60A4">
        <w:t xml:space="preserve"> wątki historyczne będą upowszechniane w ramach projektu poprzez organizację warsztatów nawiązujących do tradycj</w:t>
      </w:r>
      <w:r w:rsidR="004B6174">
        <w:t>i górniczych regionu w jednym z </w:t>
      </w:r>
      <w:r w:rsidR="003D60A4">
        <w:t>namiotów obozowiska rycerskiego zlokalizowanego u stóp Zamku.</w:t>
      </w:r>
    </w:p>
    <w:p w14:paraId="047DB63F" w14:textId="0F011D3A" w:rsidR="00D83E2A" w:rsidRDefault="00B108BC" w:rsidP="00761555">
      <w:pPr>
        <w:spacing w:line="360" w:lineRule="auto"/>
        <w:jc w:val="both"/>
      </w:pPr>
      <w:r>
        <w:t>Zakłada się, że w efekcie realizacji zadania podniesie się poziom</w:t>
      </w:r>
      <w:r w:rsidRPr="00B108BC">
        <w:t xml:space="preserve"> atrakcyjności </w:t>
      </w:r>
      <w:r>
        <w:t xml:space="preserve">jednego z kluczowych potencjałów OF, </w:t>
      </w:r>
      <w:r w:rsidRPr="00B108BC">
        <w:t xml:space="preserve">jakim jest Wzgórze Rabsztyńskie z posadowionym na nim zamkiem, a </w:t>
      </w:r>
      <w:r>
        <w:t>tym samym</w:t>
      </w:r>
      <w:r w:rsidRPr="00B108BC">
        <w:t xml:space="preserve"> </w:t>
      </w:r>
      <w:r>
        <w:t>zwiększeniu ulegnie natężenie</w:t>
      </w:r>
      <w:r w:rsidRPr="00B108BC">
        <w:t xml:space="preserve"> ruchu turystycznego </w:t>
      </w:r>
      <w:r>
        <w:t>w partnerskich gminach.</w:t>
      </w:r>
      <w:r w:rsidR="003F595C">
        <w:t xml:space="preserve"> Utworzenie średniowiecznego obozowiska z historycznymi namiotami, może przyciągnąć miłośników historii oraz rodziny szukające aktywnych i edukacyjnych form wypoczynku. Infrastruktura wokół wzgórza zamkowego w postaci punktów wypoczynkowych oraz różnorodne atrakcje sprawią, że turyści będą mogli spędzać więcej czasu na świeżym powietrzu, uczestnicząc w atrakcjach związanych z epoką średniowiecza. Dzięki takiej unikalnej ofercie, region zyska na popularności nie tylko wśród lokalnych turystów, ale również tych z dalszych części kraju i zagranicy. Dla partnerskich gmin OF Olkusza może to oznaczać większy napływ odwiedzających, którzy będą szukać</w:t>
      </w:r>
      <w:r w:rsidR="004B6174">
        <w:t xml:space="preserve"> dodatkowych atrakcji i usług w </w:t>
      </w:r>
      <w:r w:rsidR="003F595C">
        <w:t xml:space="preserve">okolicy, jak np. noclegi, gastronomia czy inne lokalne atrakcje. </w:t>
      </w:r>
      <w:r w:rsidR="00D83E2A" w:rsidRPr="00D83E2A">
        <w:t xml:space="preserve">Rozwój ponadlokalnej oferty turystycznej będzie </w:t>
      </w:r>
      <w:r w:rsidR="003F595C">
        <w:t xml:space="preserve">zatem </w:t>
      </w:r>
      <w:r w:rsidR="00D83E2A" w:rsidRPr="00D83E2A">
        <w:t xml:space="preserve">stanowił element tworzący warunki do rozwoju branży turystycznej, a tym samym wzmacniania lokalnej gospodarki i podniesienia poziomu jej konkurencyjności w regionie. Zakłada się, że rozbudowa oferty turystycznej przełoży się na wzrost </w:t>
      </w:r>
      <w:r w:rsidR="004B6174">
        <w:t>natężenia ruchu turystycznego w </w:t>
      </w:r>
      <w:r w:rsidR="00D83E2A" w:rsidRPr="00D83E2A">
        <w:t>OF, co z kolei stworzy warunki do rozwoju lokalnych przedsiębiorstw m.in. z branży hotelarskiej czy gastronomicznej w partnerskich gminach.</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E6F6" w:themeFill="accent6" w:themeFillTint="33"/>
        <w:tblLook w:val="04A0" w:firstRow="1" w:lastRow="0" w:firstColumn="1" w:lastColumn="0" w:noHBand="0" w:noVBand="1"/>
      </w:tblPr>
      <w:tblGrid>
        <w:gridCol w:w="9062"/>
      </w:tblGrid>
      <w:tr w:rsidR="004B6174" w14:paraId="1F43DC41" w14:textId="77777777" w:rsidTr="00B35C5B">
        <w:tc>
          <w:tcPr>
            <w:tcW w:w="9062" w:type="dxa"/>
            <w:shd w:val="clear" w:color="auto" w:fill="D0E6F6" w:themeFill="accent6" w:themeFillTint="33"/>
          </w:tcPr>
          <w:p w14:paraId="7ED3D29D" w14:textId="29E9C072" w:rsidR="004B6174" w:rsidRDefault="004B6174" w:rsidP="00B35C5B">
            <w:pPr>
              <w:spacing w:before="120" w:after="120"/>
              <w:jc w:val="both"/>
              <w:rPr>
                <w:b/>
              </w:rPr>
            </w:pPr>
            <w:r w:rsidRPr="004B6174">
              <w:rPr>
                <w:b/>
              </w:rPr>
              <w:t>PZ 2. ROZWÓJ SIECIOWEJ INFRASTRUKTURY TURYSTYCZNEJ OF OLKUSZA</w:t>
            </w:r>
          </w:p>
        </w:tc>
      </w:tr>
    </w:tbl>
    <w:p w14:paraId="2F9E8B3A" w14:textId="3D6B91FC" w:rsidR="00B108BC" w:rsidRDefault="00565D09" w:rsidP="004B6174">
      <w:pPr>
        <w:spacing w:before="240" w:line="360" w:lineRule="auto"/>
        <w:jc w:val="both"/>
      </w:pPr>
      <w:r w:rsidRPr="00565D09">
        <w:t>Drugie</w:t>
      </w:r>
      <w:r>
        <w:t xml:space="preserve"> przedsięwzięcie zintegrowane wpisujące się w założenia 1 Celu IIT skupione jest na rozwoju sieciowej infrastruktury turystycznej. W ramach Strategii zaplanowano rozbudowę sieci szlaków i tras turystycznych skierowanych przede wszystkim do osób zainteres</w:t>
      </w:r>
      <w:r w:rsidR="004B6174">
        <w:t>owanych aktywnym wypoczynkiem i </w:t>
      </w:r>
      <w:r>
        <w:t>zwiedzaniem tereny obszaru funkcjonalnego na rowerze</w:t>
      </w:r>
      <w:r w:rsidR="00222ACF">
        <w:t xml:space="preserve"> lub pieszo, pod szyldem szlaku </w:t>
      </w:r>
      <w:r w:rsidR="00B108BC" w:rsidRPr="00B108BC">
        <w:t>turystyczn</w:t>
      </w:r>
      <w:r w:rsidR="00222ACF">
        <w:t>ego</w:t>
      </w:r>
      <w:r w:rsidR="00B108BC" w:rsidRPr="00B108BC">
        <w:t xml:space="preserve"> „</w:t>
      </w:r>
      <w:r w:rsidR="00734BC5" w:rsidRPr="00734BC5">
        <w:t>Śladami dawnego górnictwa Ziemi Olkusko-Bolesławskiej</w:t>
      </w:r>
      <w:r w:rsidR="00B108BC" w:rsidRPr="00B108BC">
        <w:t>”</w:t>
      </w:r>
      <w:r w:rsidR="00222ACF">
        <w:t>.</w:t>
      </w:r>
    </w:p>
    <w:p w14:paraId="76106787" w14:textId="77777777" w:rsidR="00E3785C" w:rsidRDefault="00E3785C" w:rsidP="004B6174">
      <w:pPr>
        <w:spacing w:before="240" w:after="0" w:line="360" w:lineRule="auto"/>
        <w:jc w:val="both"/>
        <w:rPr>
          <w:b/>
        </w:rPr>
      </w:pPr>
      <w:r w:rsidRPr="00E3785C">
        <w:rPr>
          <w:b/>
        </w:rPr>
        <w:t>Szlak turystyczny „Śladami dawnego górnictwa Ziemi Olkusko-Bolesławskiej”</w:t>
      </w:r>
    </w:p>
    <w:p w14:paraId="1B68435C" w14:textId="36221226" w:rsidR="00584F41" w:rsidRDefault="00584F41" w:rsidP="00761555">
      <w:pPr>
        <w:spacing w:line="360" w:lineRule="auto"/>
        <w:jc w:val="both"/>
      </w:pPr>
      <w:r w:rsidRPr="00584F41">
        <w:t>Planowany do realizacji szlak turystyczny będzie stanowił element integrujący ofertę OF Olkusza poprzez skomunikowanie kluczowych atrakcji oraz zwiększenie możliwości aktywnego wypoczynku, co wpisuje się w obecne trendy. Wyniki Badania ruchu turystycznego w Małopolsce za 2023 r. wskazują bowiem, że głównym celem przyjazdu do województwa jest bo</w:t>
      </w:r>
      <w:r w:rsidR="007A287A">
        <w:t>wiem wypoczynek w połączeniu ze </w:t>
      </w:r>
      <w:r w:rsidRPr="00584F41">
        <w:t>zwiedzaniem zabytków i/lub turystyką aktywną. Zidentyfikowane potencjały OF Olkusza doskonale wpisują się w obecne trendy, co stwarza dogodne warunki do rozwijania funkcji turystycznych Obszaru.</w:t>
      </w:r>
    </w:p>
    <w:p w14:paraId="1532344E" w14:textId="0B48FE43" w:rsidR="00BB2FDE" w:rsidRDefault="00584F41" w:rsidP="00761555">
      <w:pPr>
        <w:spacing w:line="360" w:lineRule="auto"/>
        <w:jc w:val="both"/>
      </w:pPr>
      <w:r>
        <w:t xml:space="preserve">W ramach zadania zaplanowano oznakowanie istniejących i wytyczenie nowych odcinków tras </w:t>
      </w:r>
      <w:r w:rsidR="001E44E9">
        <w:t>pieszych, rowerowych i pieszo-</w:t>
      </w:r>
      <w:r>
        <w:t>rowerowych, łączących atrakcje turystyczne partnerskich gmin</w:t>
      </w:r>
      <w:r w:rsidR="00E524F1">
        <w:t xml:space="preserve">. </w:t>
      </w:r>
      <w:r>
        <w:t>Szlak obejmie</w:t>
      </w:r>
      <w:r w:rsidRPr="00584F41">
        <w:t xml:space="preserve"> część planowanej trasy turystycznej - Małopolska 2.0 i  </w:t>
      </w:r>
      <w:r>
        <w:t>po</w:t>
      </w:r>
      <w:r w:rsidRPr="00584F41">
        <w:t>łączy się ze szlakiem Velo</w:t>
      </w:r>
      <w:r w:rsidR="00262D80">
        <w:t xml:space="preserve"> </w:t>
      </w:r>
      <w:r w:rsidRPr="00584F41">
        <w:t>Przemsza.</w:t>
      </w:r>
      <w:r>
        <w:t xml:space="preserve"> W ramach projektu zaplanowano </w:t>
      </w:r>
      <w:r w:rsidR="004D3018">
        <w:t xml:space="preserve">promocję szlaku oraz </w:t>
      </w:r>
      <w:r>
        <w:t>budowę infra</w:t>
      </w:r>
      <w:r w:rsidR="004D3018">
        <w:t>struktury towarzyszącej m.i</w:t>
      </w:r>
      <w:r w:rsidR="00262D80">
        <w:t>n. </w:t>
      </w:r>
      <w:r w:rsidR="004D3018">
        <w:t>w </w:t>
      </w:r>
      <w:r>
        <w:t xml:space="preserve">postaci miejsc postoju (stojaki rowerowe, ławki itp.), </w:t>
      </w:r>
      <w:r w:rsidR="004D3018">
        <w:t>miejsc obsługi ora wypoczynku dla ruchu turystycznego</w:t>
      </w:r>
      <w:r w:rsidR="00E53C2C">
        <w:t xml:space="preserve">. </w:t>
      </w:r>
      <w:r w:rsidR="00A32A00">
        <w:t xml:space="preserve">W ramach działań promocyjnych zaplanowano </w:t>
      </w:r>
      <w:r w:rsidR="00A32A00" w:rsidRPr="00A32A00">
        <w:t>projekt i montaż tablic informacy</w:t>
      </w:r>
      <w:r w:rsidR="00A32A00">
        <w:t xml:space="preserve">jnych z przebiegiem tras wraz  z  </w:t>
      </w:r>
      <w:r w:rsidR="00A32A00" w:rsidRPr="00A32A00">
        <w:t>interaktywną w</w:t>
      </w:r>
      <w:r w:rsidR="00A32A00">
        <w:t xml:space="preserve">ystawą dot. historii górnictwa </w:t>
      </w:r>
      <w:r w:rsidR="00A32A00" w:rsidRPr="00A32A00">
        <w:t>w miejscach postoju na trasie</w:t>
      </w:r>
      <w:r w:rsidR="00A32A00">
        <w:t>.</w:t>
      </w:r>
    </w:p>
    <w:p w14:paraId="09ECE49C" w14:textId="6BE4E616" w:rsidR="00584F41" w:rsidRPr="00584F41" w:rsidRDefault="00584F41" w:rsidP="00761555">
      <w:pPr>
        <w:spacing w:line="360" w:lineRule="auto"/>
        <w:jc w:val="both"/>
      </w:pPr>
      <w:r w:rsidRPr="00584F41">
        <w:t xml:space="preserve">Dzięki realizacji zaplanowanych działań Ziemia Olkuska zyska trasę </w:t>
      </w:r>
      <w:r w:rsidR="003A143D">
        <w:t>pieszo-</w:t>
      </w:r>
      <w:r w:rsidRPr="00584F41">
        <w:t>rowerową łączącą dotychczas działające ścieżki i drogi, co stanie się dodatkową atrakcją turystyczną regionu. Wyjątkowość trasy to przystanki w miejscach związanych z ponad 8</w:t>
      </w:r>
      <w:r w:rsidR="00262D80">
        <w:t>00-letnim</w:t>
      </w:r>
      <w:r w:rsidRPr="00584F41">
        <w:t xml:space="preserve"> dziedzictwem Ziemi Olkuskiej – czyli z górnictwem, począwszy od Muzeum na Olkuskim rynku, a kończąc na w</w:t>
      </w:r>
      <w:r w:rsidR="00262D80">
        <w:t xml:space="preserve">ystawie Kopalni Wiedzy o Cynku. Turyści będą mieli okazję podróżować </w:t>
      </w:r>
      <w:r w:rsidRPr="00584F41">
        <w:t>w czasie i w głąb ziemi w otoczeniu pięknych widoków Jury Krakowsko-Częstochowskiej. Trasa będzie dostosowana zarówno do młodych, jak i starszych odbiorców, czyli powinna być atrakcyjna m.in. dla rodzinnych wycieczek na Jurę.</w:t>
      </w:r>
      <w:r w:rsidR="001D7E9B">
        <w:t xml:space="preserve"> </w:t>
      </w:r>
    </w:p>
    <w:p w14:paraId="33B290AA" w14:textId="79EFA10B" w:rsidR="005C1B2B" w:rsidRDefault="00584F41" w:rsidP="00761555">
      <w:pPr>
        <w:spacing w:line="360" w:lineRule="auto"/>
        <w:jc w:val="both"/>
        <w:rPr>
          <w:b/>
        </w:rPr>
      </w:pPr>
      <w:r w:rsidRPr="00584F41">
        <w:t>Trasa będzie integrowała wszystkie gminy OF, ukierunkowując ruch turystyczny i rozpra</w:t>
      </w:r>
      <w:r w:rsidR="00262D80">
        <w:t>szając go z </w:t>
      </w:r>
      <w:r w:rsidRPr="00584F41">
        <w:t>atrakcji, w których obecnie się kumuluje (m.in. Pustynia Błędowska, Rynek w Olkuszu), do nowych, niedostatecz</w:t>
      </w:r>
      <w:r w:rsidR="00794344">
        <w:t xml:space="preserve">nie odkrytych dotychczas miejsc. </w:t>
      </w:r>
    </w:p>
    <w:p w14:paraId="051BF9CB" w14:textId="3259F56F" w:rsidR="004B6174" w:rsidRDefault="003339B1" w:rsidP="0019184C">
      <w:pPr>
        <w:spacing w:line="360" w:lineRule="auto"/>
        <w:jc w:val="both"/>
      </w:pPr>
      <w:r w:rsidRPr="009A71F6">
        <w:t xml:space="preserve">Projekt </w:t>
      </w:r>
      <w:r w:rsidR="00262D80">
        <w:t>zostanie</w:t>
      </w:r>
      <w:r w:rsidRPr="009A71F6">
        <w:t xml:space="preserve"> </w:t>
      </w:r>
      <w:r w:rsidR="00262D80">
        <w:t>z</w:t>
      </w:r>
      <w:r w:rsidRPr="009A71F6">
        <w:t xml:space="preserve">realizowany w formule partnerskiej. Lider: Gmina </w:t>
      </w:r>
      <w:r w:rsidR="00022EFB">
        <w:t>Klucze</w:t>
      </w:r>
      <w:r w:rsidRPr="009A71F6">
        <w:t xml:space="preserve">, Partnerzy: Gmina </w:t>
      </w:r>
      <w:r w:rsidR="0067588E" w:rsidRPr="009A71F6">
        <w:t>Olkusz</w:t>
      </w:r>
      <w:r w:rsidRPr="009A71F6">
        <w:t xml:space="preserve">, Gmina </w:t>
      </w:r>
      <w:r w:rsidR="00022EFB">
        <w:t>Bolesław</w:t>
      </w:r>
      <w:r w:rsidRPr="009A71F6">
        <w:t>, Partner wyłoniony przed złożeniem wniosku o dofinansowanie w otwartym naborze partnerów do realizacji wspólnych projektów zgodnie z art. 39 usta</w:t>
      </w:r>
      <w:r w:rsidR="00262D80">
        <w:t>wy z dnia 28 kwietnia 2022 r. o </w:t>
      </w:r>
      <w:r w:rsidRPr="009A71F6">
        <w:t>zasadach realizacji zadań finansowanych ze środków europejskich w perspektywie finansowej 2021–2027</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E6F6" w:themeFill="accent6" w:themeFillTint="33"/>
        <w:tblLook w:val="04A0" w:firstRow="1" w:lastRow="0" w:firstColumn="1" w:lastColumn="0" w:noHBand="0" w:noVBand="1"/>
      </w:tblPr>
      <w:tblGrid>
        <w:gridCol w:w="9062"/>
      </w:tblGrid>
      <w:tr w:rsidR="004B6174" w14:paraId="6242D010" w14:textId="77777777" w:rsidTr="00B35C5B">
        <w:tc>
          <w:tcPr>
            <w:tcW w:w="9062" w:type="dxa"/>
            <w:shd w:val="clear" w:color="auto" w:fill="D0E6F6" w:themeFill="accent6" w:themeFillTint="33"/>
          </w:tcPr>
          <w:p w14:paraId="6D153944" w14:textId="214B45D5" w:rsidR="004B6174" w:rsidRDefault="004B6174" w:rsidP="00B35C5B">
            <w:pPr>
              <w:spacing w:before="120" w:after="120"/>
              <w:jc w:val="both"/>
              <w:rPr>
                <w:b/>
              </w:rPr>
            </w:pPr>
            <w:r w:rsidRPr="004B6174">
              <w:rPr>
                <w:b/>
              </w:rPr>
              <w:t>PZ 3. ROZWÓJ OFERTY KULTURALNEJ OF OLKUSZA</w:t>
            </w:r>
          </w:p>
        </w:tc>
      </w:tr>
    </w:tbl>
    <w:p w14:paraId="2CB951C0" w14:textId="36D57829" w:rsidR="00941EF9" w:rsidRDefault="00CF02BF" w:rsidP="004B6174">
      <w:pPr>
        <w:spacing w:before="120" w:line="360" w:lineRule="auto"/>
        <w:jc w:val="both"/>
      </w:pPr>
      <w:r>
        <w:t>W ramach 2 Celu IIT wypracowano przedsięwzięcie skupione na podniesieniu standardu infrastruktury kultury i rozwoju oferty lokalnych instytucji, co przyczyni się do wzrostu poziomu jakości oferty kulturalnej w OF Olkusza.</w:t>
      </w:r>
      <w:r w:rsidR="005825B9">
        <w:t xml:space="preserve"> Przedsięwzięcie obejmuje następujące zadania:</w:t>
      </w:r>
    </w:p>
    <w:p w14:paraId="34DFC765" w14:textId="77777777" w:rsidR="00A63813" w:rsidRDefault="005825B9" w:rsidP="004B6174">
      <w:pPr>
        <w:pStyle w:val="Akapitzlist"/>
        <w:numPr>
          <w:ilvl w:val="0"/>
          <w:numId w:val="8"/>
        </w:numPr>
        <w:spacing w:line="360" w:lineRule="auto"/>
        <w:jc w:val="both"/>
      </w:pPr>
      <w:r w:rsidRPr="005825B9">
        <w:t>Poprawa funkcjonalności Domu Kultury „Papiernik” w Kluczach poprzez rozbudowę sali widowiskowej o funkcje kina</w:t>
      </w:r>
      <w:r>
        <w:t>,</w:t>
      </w:r>
    </w:p>
    <w:p w14:paraId="41C4AF43" w14:textId="07F13627" w:rsidR="00A63813" w:rsidRPr="00A63813" w:rsidRDefault="00A63813" w:rsidP="004B6174">
      <w:pPr>
        <w:pStyle w:val="Akapitzlist"/>
        <w:numPr>
          <w:ilvl w:val="0"/>
          <w:numId w:val="8"/>
        </w:numPr>
        <w:spacing w:line="360" w:lineRule="auto"/>
        <w:jc w:val="both"/>
      </w:pPr>
      <w:r w:rsidRPr="00A63813">
        <w:t xml:space="preserve">Remont i doposażenie zabytkowego dworku w Bolesławiu, na potrzeby rozwoju działalności Centrum Kultury. </w:t>
      </w:r>
    </w:p>
    <w:p w14:paraId="1A50F645" w14:textId="31847F92" w:rsidR="005825B9" w:rsidRPr="005825B9" w:rsidRDefault="005825B9" w:rsidP="004B6174">
      <w:pPr>
        <w:spacing w:after="0" w:line="360" w:lineRule="auto"/>
        <w:jc w:val="both"/>
        <w:rPr>
          <w:b/>
        </w:rPr>
      </w:pPr>
      <w:r w:rsidRPr="005825B9">
        <w:rPr>
          <w:b/>
        </w:rPr>
        <w:t>Poprawa funkcjonalności Domu Kultury „Papiernik” w Kluczach poprzez rozbudowę sali widowiskowej o funkcje kina</w:t>
      </w:r>
    </w:p>
    <w:p w14:paraId="23622AB4" w14:textId="509EDFCB" w:rsidR="005F660F" w:rsidRDefault="005825B9" w:rsidP="00277478">
      <w:pPr>
        <w:spacing w:line="360" w:lineRule="auto"/>
        <w:jc w:val="both"/>
      </w:pPr>
      <w:r>
        <w:t xml:space="preserve">Projekt zakłada poprawę funkcjonalności Domu Kultury „Papiernik” w Kluczach </w:t>
      </w:r>
      <w:r w:rsidR="006650D6">
        <w:t xml:space="preserve">(GOK) </w:t>
      </w:r>
      <w:r>
        <w:t xml:space="preserve">poprzez rozbudowę sali widowiskowej o funkcje kina. </w:t>
      </w:r>
      <w:r w:rsidR="0009206A">
        <w:t xml:space="preserve">W budynku funkcjonuje sala widowiskowa, które aktualnie nie jest w pełni wykorzystywana ze względu </w:t>
      </w:r>
      <w:r w:rsidR="004B6174">
        <w:t>na brak odpowiedniego sprzętu i </w:t>
      </w:r>
      <w:r w:rsidR="0009206A">
        <w:t xml:space="preserve">niedostosowanie infrastruktury do obowiązujących standardów placówek kinowych. </w:t>
      </w:r>
    </w:p>
    <w:p w14:paraId="7F3CD162" w14:textId="10192808" w:rsidR="00936925" w:rsidRDefault="005F660F" w:rsidP="00277478">
      <w:pPr>
        <w:spacing w:line="360" w:lineRule="auto"/>
        <w:jc w:val="both"/>
      </w:pPr>
      <w:r w:rsidRPr="005F660F">
        <w:t>Brak kina</w:t>
      </w:r>
      <w:r>
        <w:t>,</w:t>
      </w:r>
      <w:r w:rsidRPr="005F660F">
        <w:t xml:space="preserve"> czyli brak możliwości wyświetlania seansów kinowych</w:t>
      </w:r>
      <w:r>
        <w:t>,</w:t>
      </w:r>
      <w:r w:rsidRPr="005F660F">
        <w:t xml:space="preserve"> wpływa na ograniczenie jakości oferty kulturalnej, słabą dostępność usług w dziedzinie kultury i edukacji. </w:t>
      </w:r>
      <w:r>
        <w:t>Projekt stanowi odpowiedź na te problemy – zakłada bowiem realizację prac remontowych i modernizacyjnych zmierzających do poprawy warunków funkcjonalnych obiektu, w tym poprzez podwy</w:t>
      </w:r>
      <w:r w:rsidR="004B6174">
        <w:t>ższenie komfortu akustycznego i </w:t>
      </w:r>
      <w:r>
        <w:t xml:space="preserve">wizualnego użytkowników kluczewskiego kina. </w:t>
      </w:r>
      <w:r w:rsidRPr="005F660F">
        <w:t>Realizacja projektu wpłynie na poszerzenie i poprawę pod względem komfortu pracy</w:t>
      </w:r>
      <w:r>
        <w:t>,</w:t>
      </w:r>
      <w:r w:rsidRPr="005F660F">
        <w:t xml:space="preserve"> jak i możliwości rozwoju działaln</w:t>
      </w:r>
      <w:r w:rsidR="004B6174">
        <w:t>ości Domu Kultury „Papiernik” w </w:t>
      </w:r>
      <w:r w:rsidRPr="005F660F">
        <w:t xml:space="preserve">Kluczach. Pozwoli to na rozszerzenie repertuaru zarówno pod względem liczby, jak i rangi wydarzeń. Interwencja w dziedzinie kultury przyczyni się do tworzenia nowych możliwości spędzania czasu wolnego przez mieszkańców i turystów. </w:t>
      </w:r>
      <w:r w:rsidR="003A730E">
        <w:t>Szacuje się, że obecnie z oferty Domu Kultury (</w:t>
      </w:r>
      <w:r w:rsidR="00CE3D14">
        <w:t>zajęcia plastyczne, taneczne i wokalne, wernisaże, zajęcia z ceramiki</w:t>
      </w:r>
      <w:r w:rsidR="003A730E">
        <w:t xml:space="preserve"> itp.) korz</w:t>
      </w:r>
      <w:r w:rsidR="004B6174">
        <w:t>ysta ok. 5 tys. osób rocznie, z </w:t>
      </w:r>
      <w:r w:rsidR="003A730E">
        <w:t xml:space="preserve">czego ok. 10% stanowią mieszkańcy gmin Olkusz i Bolesław, co świadczy o ponadlokalnym charakterze działalności instytucji kultury. </w:t>
      </w:r>
      <w:r w:rsidRPr="005F660F">
        <w:t>Efektem realizacji zadania będzie większe zainteresowanie społeczne ofer</w:t>
      </w:r>
      <w:r>
        <w:t xml:space="preserve">tą kulturalną oraz ograniczenie zjawiska </w:t>
      </w:r>
      <w:r w:rsidRPr="005F660F">
        <w:t xml:space="preserve">wykluczenia kulturowego dla mieszkańców obszarów wiejskich. </w:t>
      </w:r>
      <w:r w:rsidR="006650D6" w:rsidRPr="006650D6">
        <w:t xml:space="preserve">Warto nadmienić, że </w:t>
      </w:r>
      <w:r w:rsidR="006650D6">
        <w:t>potrzeba uzupełnienia of</w:t>
      </w:r>
      <w:r w:rsidR="004B6174">
        <w:t>erty Domu Kultury „Papiernik” o </w:t>
      </w:r>
      <w:r w:rsidR="006650D6">
        <w:t>pokazy filmowe wynika z rozmów z mieszkańcami prowadzonych przez przedstawicieli</w:t>
      </w:r>
      <w:r w:rsidR="006650D6" w:rsidRPr="006650D6">
        <w:t xml:space="preserve"> GOK i władz lokalnych</w:t>
      </w:r>
      <w:r w:rsidR="006650D6">
        <w:t>, a także obserwacji i analiz oczekiwań lokalnej społeczności</w:t>
      </w:r>
      <w:r w:rsidR="00262D80">
        <w:t xml:space="preserve">, </w:t>
      </w:r>
      <w:r w:rsidR="00D6726C">
        <w:t>w tym również mieszkańców całego powiatu olkuskiego</w:t>
      </w:r>
      <w:r w:rsidR="006650D6">
        <w:t xml:space="preserve">, wyrażanych często na portalach społecznościowych. </w:t>
      </w:r>
    </w:p>
    <w:p w14:paraId="7FDB3B3A" w14:textId="52C97BF9" w:rsidR="005F660F" w:rsidRDefault="00D17BD4" w:rsidP="00277478">
      <w:pPr>
        <w:spacing w:line="360" w:lineRule="auto"/>
        <w:jc w:val="both"/>
      </w:pPr>
      <w:r>
        <w:t>Zakłada się, że</w:t>
      </w:r>
      <w:r w:rsidR="005F660F" w:rsidRPr="005F660F">
        <w:t xml:space="preserve"> szeroka oferta kulturalno-edukacyjna pobudzi równ</w:t>
      </w:r>
      <w:r w:rsidR="004B6174">
        <w:t>ież nowe inicjatywy społeczne i </w:t>
      </w:r>
      <w:r w:rsidR="005F660F" w:rsidRPr="005F660F">
        <w:t>kulturalne osób w każdym wieku. Przyczyni się także do wzrostu potencjału instytucji kultury do świadczenia usług w dziedzinie kultury i edukacji.</w:t>
      </w:r>
    </w:p>
    <w:p w14:paraId="7AA40243" w14:textId="77C0C3FA" w:rsidR="005825B9" w:rsidRPr="00CF02BF" w:rsidRDefault="0009206A" w:rsidP="00277478">
      <w:pPr>
        <w:spacing w:line="360" w:lineRule="auto"/>
        <w:jc w:val="both"/>
      </w:pPr>
      <w:r>
        <w:t xml:space="preserve">Projekt przyczyni się zatem do rozszerzenia </w:t>
      </w:r>
      <w:r w:rsidR="005825B9">
        <w:t xml:space="preserve">dotychczasowych funkcji obiektu oraz </w:t>
      </w:r>
      <w:r>
        <w:t>poprawy</w:t>
      </w:r>
      <w:r w:rsidR="005825B9">
        <w:t xml:space="preserve"> jakości funkcjonowania instytucji </w:t>
      </w:r>
      <w:r>
        <w:t xml:space="preserve">kultury </w:t>
      </w:r>
      <w:r w:rsidR="005825B9">
        <w:t>poprzez poprawę standardów infrastruktury dla prowadzenia działalności kulturalnej i edukacyjnej. Rezultatem będzie wzrost jakości i dostępności oferty w obszarze kultury, szczególnie dla osób zagrożonych wykluczeniem społecznym.</w:t>
      </w:r>
    </w:p>
    <w:p w14:paraId="46104566" w14:textId="77777777" w:rsidR="00A63813" w:rsidRDefault="00A63813" w:rsidP="004B6174">
      <w:pPr>
        <w:spacing w:after="0" w:line="360" w:lineRule="auto"/>
        <w:jc w:val="both"/>
        <w:rPr>
          <w:b/>
        </w:rPr>
      </w:pPr>
      <w:r w:rsidRPr="00A63813">
        <w:rPr>
          <w:b/>
        </w:rPr>
        <w:t xml:space="preserve">Remont i doposażenie zabytkowego dworku w Bolesławiu, na potrzeby rozwoju działalności Centrum Kultury </w:t>
      </w:r>
    </w:p>
    <w:p w14:paraId="74C5C741" w14:textId="6F303F29" w:rsidR="003F73AD" w:rsidRDefault="00B35D86" w:rsidP="003F73AD">
      <w:pPr>
        <w:spacing w:line="360" w:lineRule="auto"/>
        <w:jc w:val="both"/>
      </w:pPr>
      <w:r>
        <w:t xml:space="preserve">Dwór w Bolesławiu jest siedzibą jednej z filii </w:t>
      </w:r>
      <w:r w:rsidRPr="00B35D86">
        <w:t>Centrum Kultury im. Marii Płonowskiej w Bolesławiu</w:t>
      </w:r>
      <w:r w:rsidR="007A287A">
        <w:t>. Ze </w:t>
      </w:r>
      <w:r>
        <w:t xml:space="preserve">względu na walory historyczno-kulturowe, obiekt wraz z otoczeniem znajduje się w rejestrze zabytków nieruchomych województwa małopolskiego (nr rej. </w:t>
      </w:r>
      <w:r w:rsidRPr="00B35D86">
        <w:t>A-1297/</w:t>
      </w:r>
      <w:r>
        <w:t>83 z 10.08.1983 (Kat) [A-684/M])</w:t>
      </w:r>
      <w:r w:rsidR="00B1503D">
        <w:t xml:space="preserve">. Obecnie w budynku prowadzone są różne formy działalności kulturalnej, m.in. zajęcia plastyczne, taneczne, wystawy, festyny czy spotkania wigilijne, zarówno dla dzieci, jak </w:t>
      </w:r>
      <w:r w:rsidR="007A287A">
        <w:t>i dorosłych mieszkańców Gminy i </w:t>
      </w:r>
      <w:r w:rsidR="00B1503D">
        <w:t>okolicznych miejscowości. Działalność Centrum Kultury ma charakter ponadlokalny</w:t>
      </w:r>
      <w:r w:rsidR="00A93D0B">
        <w:t xml:space="preserve">, m.in. dzięki współpracy ze Starostwem Powiatowym w Olkuszu w zakresie organizacji imprez o różnym charakterze (w tym np. konkursów literackich, plenerów plastycznych, turniejów sportowych), w których udział biorą przede wszystkim mieszkańcy innych gmin powiatu olkuskiego. </w:t>
      </w:r>
    </w:p>
    <w:p w14:paraId="7665A3AF" w14:textId="77777777" w:rsidR="000F3323" w:rsidRDefault="00C51460" w:rsidP="003F73AD">
      <w:pPr>
        <w:spacing w:line="360" w:lineRule="auto"/>
        <w:jc w:val="both"/>
      </w:pPr>
      <w:r>
        <w:t xml:space="preserve">Ze względu na niedostateczny stan techniczny dworku w Bolesławiu niezbędne jest jednak podjęcie prac remontowych, które umożliwią poprawę funkcjonalności obiektu i rozwój działalności Centrum Kultury poprzez doposażenie go w niezbędne sprzęty. </w:t>
      </w:r>
    </w:p>
    <w:p w14:paraId="508E3AA0" w14:textId="4612DAAF" w:rsidR="00C51460" w:rsidRDefault="00E93CF0" w:rsidP="003F73AD">
      <w:pPr>
        <w:spacing w:line="360" w:lineRule="auto"/>
        <w:jc w:val="both"/>
      </w:pPr>
      <w:r w:rsidRPr="000D1AB0">
        <w:t>Zadanie obejmuje realizację prac remontowych podnoszących st</w:t>
      </w:r>
      <w:r>
        <w:t>andard infrastruktury kultury i </w:t>
      </w:r>
      <w:r w:rsidRPr="000D1AB0">
        <w:t>podnoszących poziom bezpieczeństwa oraz doposażenie w niezbędny sprzęt umożliwiający</w:t>
      </w:r>
      <w:r>
        <w:t xml:space="preserve"> rozwój oferty Centrum Kultury, w tym m.in. </w:t>
      </w:r>
      <w:r w:rsidRPr="000D1AB0">
        <w:t>zabezpieczenie przeciwwodne tarasu, odprowadzenie wód opadowych, naprawa i malowanie stolarki okiennej, drzwiowej, ganku i werandy, naprawa pęknięć i</w:t>
      </w:r>
      <w:r>
        <w:t> </w:t>
      </w:r>
      <w:r w:rsidRPr="000D1AB0">
        <w:t>ubytków elewacji, wykonanie instalacji monitoringu wizyjn</w:t>
      </w:r>
      <w:r w:rsidR="00262D80">
        <w:t>ego, instalacji przeciw</w:t>
      </w:r>
      <w:r w:rsidRPr="000D1AB0">
        <w:t xml:space="preserve">pożarowej, zakup systemu multimedialnego, oświetleniowego i nagłośnieniowego </w:t>
      </w:r>
      <w:r w:rsidR="00262D80">
        <w:t>w sali wielofunkcyjnej w Centrum Kultury</w:t>
      </w:r>
      <w:r w:rsidRPr="000D1AB0">
        <w:t>.</w:t>
      </w:r>
    </w:p>
    <w:p w14:paraId="725A1B15" w14:textId="6279FE2D" w:rsidR="00E53C2C" w:rsidRPr="00E53C2C" w:rsidRDefault="00E53C2C" w:rsidP="003F73AD">
      <w:pPr>
        <w:spacing w:line="360" w:lineRule="auto"/>
        <w:jc w:val="both"/>
        <w:rPr>
          <w:b/>
        </w:rPr>
      </w:pPr>
      <w:r w:rsidRPr="00E53C2C">
        <w:rPr>
          <w:b/>
        </w:rPr>
        <w:t>Podsumowanie</w:t>
      </w:r>
    </w:p>
    <w:p w14:paraId="6B1951F6" w14:textId="1A48D8C7" w:rsidR="00463E2C" w:rsidRDefault="00352CB8" w:rsidP="00022EFB">
      <w:pPr>
        <w:spacing w:after="120" w:line="336" w:lineRule="auto"/>
        <w:jc w:val="both"/>
      </w:pPr>
      <w:r>
        <w:t xml:space="preserve">Projekty i zadania wchodzące w skład poszczególnych przedsięwzięć zintegrowanych wpisują się w cele rozwoju obszaru funkcjonalnego objętego instrumentem, tj. Strategii </w:t>
      </w:r>
      <w:r w:rsidRPr="00352CB8">
        <w:t>IIT dla obszarów Gminy Olkusz, Gminy Klucze i Gminy Bolesław</w:t>
      </w:r>
      <w:r>
        <w:t xml:space="preserve"> i są ukierunkowane na rozwiązywanie wspólnych problemów i wyzwań gmin wchodzących w skład obszaru funkcjonalnego Olkusza, a także wykorzystanie ich potencjału rozwojowego. Realizacja planowanych przedsięwzięć jest uzasadniona zarówno w części diagnostycznej, jak i kierunkowej Strategii.</w:t>
      </w:r>
      <w:r w:rsidRPr="008538C8">
        <w:t xml:space="preserve"> Szczegółowy zakres przedstawiono w </w:t>
      </w:r>
      <w:r>
        <w:t xml:space="preserve">poniższym zestawieniu. </w:t>
      </w:r>
      <w:r w:rsidR="00463E2C">
        <w:br w:type="page"/>
      </w:r>
    </w:p>
    <w:p w14:paraId="750B9397" w14:textId="77777777" w:rsidR="00463E2C" w:rsidRDefault="00463E2C" w:rsidP="00352CB8">
      <w:pPr>
        <w:spacing w:before="240" w:line="360" w:lineRule="auto"/>
        <w:jc w:val="both"/>
        <w:sectPr w:rsidR="00463E2C">
          <w:pgSz w:w="11906" w:h="16838"/>
          <w:pgMar w:top="1417" w:right="1417" w:bottom="1417" w:left="1417" w:header="708" w:footer="708" w:gutter="0"/>
          <w:cols w:space="708"/>
          <w:docGrid w:linePitch="360"/>
        </w:sectPr>
      </w:pPr>
    </w:p>
    <w:tbl>
      <w:tblPr>
        <w:tblStyle w:val="Tabela-Siatka"/>
        <w:tblW w:w="22964" w:type="dxa"/>
        <w:tblInd w:w="-11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134"/>
        <w:gridCol w:w="4136"/>
        <w:gridCol w:w="1960"/>
        <w:gridCol w:w="425"/>
        <w:gridCol w:w="1867"/>
        <w:gridCol w:w="992"/>
        <w:gridCol w:w="2953"/>
        <w:gridCol w:w="3001"/>
        <w:gridCol w:w="1417"/>
        <w:gridCol w:w="1134"/>
        <w:gridCol w:w="968"/>
        <w:gridCol w:w="2977"/>
      </w:tblGrid>
      <w:tr w:rsidR="00463E2C" w14:paraId="018ED429" w14:textId="77777777" w:rsidTr="00023F75">
        <w:trPr>
          <w:trHeight w:val="20"/>
        </w:trPr>
        <w:tc>
          <w:tcPr>
            <w:tcW w:w="7230" w:type="dxa"/>
            <w:gridSpan w:val="3"/>
          </w:tcPr>
          <w:p w14:paraId="4475B9DE" w14:textId="77777777" w:rsidR="00463E2C" w:rsidRPr="00F77AF9" w:rsidRDefault="00463E2C" w:rsidP="00A63813">
            <w:pPr>
              <w:pStyle w:val="Akapitzlist"/>
              <w:ind w:left="0"/>
              <w:jc w:val="center"/>
              <w:rPr>
                <w:b/>
                <w:sz w:val="18"/>
                <w:szCs w:val="18"/>
              </w:rPr>
            </w:pPr>
            <w:r w:rsidRPr="00F77AF9">
              <w:rPr>
                <w:b/>
                <w:sz w:val="18"/>
                <w:szCs w:val="18"/>
              </w:rPr>
              <w:t>Przedsięwzięcie (wiązka projektów)</w:t>
            </w:r>
          </w:p>
        </w:tc>
        <w:tc>
          <w:tcPr>
            <w:tcW w:w="15734" w:type="dxa"/>
            <w:gridSpan w:val="9"/>
          </w:tcPr>
          <w:p w14:paraId="736840E7" w14:textId="77777777" w:rsidR="00463E2C" w:rsidRPr="00F77AF9" w:rsidRDefault="00463E2C" w:rsidP="00A63813">
            <w:pPr>
              <w:pStyle w:val="Akapitzlist"/>
              <w:ind w:left="0"/>
              <w:jc w:val="center"/>
              <w:rPr>
                <w:b/>
                <w:sz w:val="18"/>
                <w:szCs w:val="18"/>
              </w:rPr>
            </w:pPr>
            <w:r w:rsidRPr="00F77AF9">
              <w:rPr>
                <w:b/>
                <w:sz w:val="18"/>
                <w:szCs w:val="18"/>
              </w:rPr>
              <w:t>Projekt</w:t>
            </w:r>
          </w:p>
        </w:tc>
      </w:tr>
      <w:tr w:rsidR="00463E2C" w:rsidRPr="00470842" w14:paraId="0375BE43" w14:textId="77777777" w:rsidTr="00023F75">
        <w:trPr>
          <w:trHeight w:val="20"/>
        </w:trPr>
        <w:tc>
          <w:tcPr>
            <w:tcW w:w="1134" w:type="dxa"/>
            <w:shd w:val="clear" w:color="auto" w:fill="A6A6A6" w:themeFill="background1" w:themeFillShade="A6"/>
            <w:vAlign w:val="center"/>
          </w:tcPr>
          <w:p w14:paraId="5F6DCE48" w14:textId="77777777" w:rsidR="00463E2C" w:rsidRPr="0039208B" w:rsidRDefault="00463E2C" w:rsidP="00A63813">
            <w:pPr>
              <w:pStyle w:val="Akapitzlist"/>
              <w:ind w:left="0"/>
              <w:jc w:val="center"/>
              <w:rPr>
                <w:b/>
                <w:sz w:val="16"/>
                <w:szCs w:val="16"/>
              </w:rPr>
            </w:pPr>
            <w:r w:rsidRPr="0039208B">
              <w:rPr>
                <w:b/>
                <w:sz w:val="16"/>
                <w:szCs w:val="16"/>
              </w:rPr>
              <w:t>Skrócona nazwa przedsięwzięcia (wiązki projektów)</w:t>
            </w:r>
          </w:p>
        </w:tc>
        <w:tc>
          <w:tcPr>
            <w:tcW w:w="4136" w:type="dxa"/>
            <w:shd w:val="clear" w:color="auto" w:fill="A6A6A6" w:themeFill="background1" w:themeFillShade="A6"/>
            <w:vAlign w:val="center"/>
          </w:tcPr>
          <w:p w14:paraId="128F9280" w14:textId="77777777" w:rsidR="00463E2C" w:rsidRPr="0039208B" w:rsidRDefault="00463E2C" w:rsidP="00A63813">
            <w:pPr>
              <w:pStyle w:val="Akapitzlist"/>
              <w:ind w:left="0"/>
              <w:jc w:val="center"/>
              <w:rPr>
                <w:b/>
                <w:sz w:val="16"/>
                <w:szCs w:val="16"/>
              </w:rPr>
            </w:pPr>
            <w:r w:rsidRPr="0039208B">
              <w:rPr>
                <w:b/>
                <w:sz w:val="16"/>
                <w:szCs w:val="16"/>
              </w:rPr>
              <w:t xml:space="preserve">Wskazanie i uzasadnienie realizacji celu Strategii </w:t>
            </w:r>
            <w:r>
              <w:rPr>
                <w:b/>
                <w:sz w:val="16"/>
                <w:szCs w:val="16"/>
              </w:rPr>
              <w:t>IIT</w:t>
            </w:r>
            <w:r w:rsidRPr="0039208B">
              <w:rPr>
                <w:b/>
                <w:sz w:val="16"/>
                <w:szCs w:val="16"/>
              </w:rPr>
              <w:t>, przez  przedsięwzięcie (wiązkę projektów) ze wskazaniem po</w:t>
            </w:r>
            <w:r>
              <w:rPr>
                <w:b/>
                <w:sz w:val="16"/>
                <w:szCs w:val="16"/>
              </w:rPr>
              <w:t>dejścia zintegrowanego</w:t>
            </w:r>
          </w:p>
        </w:tc>
        <w:tc>
          <w:tcPr>
            <w:tcW w:w="1960" w:type="dxa"/>
            <w:shd w:val="clear" w:color="auto" w:fill="A6A6A6" w:themeFill="background1" w:themeFillShade="A6"/>
            <w:vAlign w:val="center"/>
          </w:tcPr>
          <w:p w14:paraId="28F3FE7C" w14:textId="77777777" w:rsidR="00463E2C" w:rsidRPr="0039208B" w:rsidRDefault="00463E2C" w:rsidP="00A63813">
            <w:pPr>
              <w:pStyle w:val="Akapitzlist"/>
              <w:ind w:left="0"/>
              <w:jc w:val="center"/>
              <w:rPr>
                <w:b/>
                <w:sz w:val="16"/>
                <w:szCs w:val="16"/>
              </w:rPr>
            </w:pPr>
            <w:r w:rsidRPr="0039208B">
              <w:rPr>
                <w:b/>
                <w:sz w:val="16"/>
                <w:szCs w:val="16"/>
              </w:rPr>
              <w:t>Szacowana, skumulowana wartość wskaźnika dla przedsięwzięcia (wiązki projektów)</w:t>
            </w:r>
          </w:p>
          <w:p w14:paraId="3376A78D" w14:textId="77777777" w:rsidR="00463E2C" w:rsidRPr="0039208B" w:rsidRDefault="00463E2C" w:rsidP="00A63813">
            <w:pPr>
              <w:pStyle w:val="Akapitzlist"/>
              <w:ind w:left="0"/>
              <w:jc w:val="center"/>
              <w:rPr>
                <w:b/>
                <w:sz w:val="16"/>
                <w:szCs w:val="16"/>
              </w:rPr>
            </w:pPr>
          </w:p>
          <w:p w14:paraId="6A069128" w14:textId="77777777" w:rsidR="00463E2C" w:rsidRPr="0039208B" w:rsidRDefault="00463E2C" w:rsidP="00A63813">
            <w:pPr>
              <w:pStyle w:val="Akapitzlist"/>
              <w:ind w:left="0"/>
              <w:jc w:val="center"/>
              <w:rPr>
                <w:i/>
                <w:sz w:val="16"/>
                <w:szCs w:val="16"/>
              </w:rPr>
            </w:pPr>
            <w:r w:rsidRPr="0039208B">
              <w:rPr>
                <w:i/>
                <w:sz w:val="16"/>
                <w:szCs w:val="16"/>
              </w:rPr>
              <w:t>(wskaźnik z FEM 2021-2027)</w:t>
            </w:r>
          </w:p>
        </w:tc>
        <w:tc>
          <w:tcPr>
            <w:tcW w:w="425" w:type="dxa"/>
            <w:vAlign w:val="center"/>
          </w:tcPr>
          <w:p w14:paraId="18FB8992" w14:textId="77777777" w:rsidR="00463E2C" w:rsidRPr="0039208B" w:rsidRDefault="00463E2C" w:rsidP="00A63813">
            <w:pPr>
              <w:pStyle w:val="Akapitzlist"/>
              <w:ind w:left="0"/>
              <w:jc w:val="center"/>
              <w:rPr>
                <w:b/>
                <w:sz w:val="16"/>
                <w:szCs w:val="16"/>
              </w:rPr>
            </w:pPr>
            <w:r w:rsidRPr="0039208B">
              <w:rPr>
                <w:b/>
                <w:sz w:val="16"/>
                <w:szCs w:val="16"/>
              </w:rPr>
              <w:t>LP</w:t>
            </w:r>
          </w:p>
        </w:tc>
        <w:tc>
          <w:tcPr>
            <w:tcW w:w="1867" w:type="dxa"/>
            <w:vAlign w:val="center"/>
          </w:tcPr>
          <w:p w14:paraId="04D957F2" w14:textId="77777777" w:rsidR="00463E2C" w:rsidRPr="0039208B" w:rsidRDefault="00463E2C" w:rsidP="00A63813">
            <w:pPr>
              <w:pStyle w:val="Akapitzlist"/>
              <w:ind w:left="0"/>
              <w:jc w:val="center"/>
              <w:rPr>
                <w:b/>
                <w:sz w:val="16"/>
                <w:szCs w:val="16"/>
              </w:rPr>
            </w:pPr>
            <w:r w:rsidRPr="009022B2">
              <w:rPr>
                <w:b/>
                <w:sz w:val="16"/>
                <w:szCs w:val="16"/>
              </w:rPr>
              <w:t>Skrócona nazwa projektu</w:t>
            </w:r>
          </w:p>
        </w:tc>
        <w:tc>
          <w:tcPr>
            <w:tcW w:w="992" w:type="dxa"/>
            <w:vAlign w:val="center"/>
          </w:tcPr>
          <w:p w14:paraId="210F9158" w14:textId="77777777" w:rsidR="00463E2C" w:rsidRPr="0039208B" w:rsidRDefault="00463E2C" w:rsidP="00A63813">
            <w:pPr>
              <w:pStyle w:val="Akapitzlist"/>
              <w:ind w:left="0"/>
              <w:jc w:val="center"/>
              <w:rPr>
                <w:b/>
                <w:sz w:val="16"/>
                <w:szCs w:val="16"/>
              </w:rPr>
            </w:pPr>
            <w:r w:rsidRPr="0039208B">
              <w:rPr>
                <w:b/>
                <w:sz w:val="16"/>
                <w:szCs w:val="16"/>
              </w:rPr>
              <w:t>Nazwa beneficjenta</w:t>
            </w:r>
          </w:p>
        </w:tc>
        <w:tc>
          <w:tcPr>
            <w:tcW w:w="2953" w:type="dxa"/>
            <w:vAlign w:val="center"/>
          </w:tcPr>
          <w:p w14:paraId="6D4799CF" w14:textId="77777777" w:rsidR="00463E2C" w:rsidRPr="0039208B" w:rsidRDefault="00463E2C" w:rsidP="00A63813">
            <w:pPr>
              <w:pStyle w:val="Akapitzlist"/>
              <w:ind w:left="0"/>
              <w:jc w:val="center"/>
              <w:rPr>
                <w:b/>
                <w:sz w:val="16"/>
                <w:szCs w:val="16"/>
              </w:rPr>
            </w:pPr>
            <w:r w:rsidRPr="0039208B">
              <w:rPr>
                <w:b/>
                <w:sz w:val="16"/>
                <w:szCs w:val="16"/>
              </w:rPr>
              <w:t>Planowany zakres projektu – najważniejsze elementy projektu</w:t>
            </w:r>
          </w:p>
        </w:tc>
        <w:tc>
          <w:tcPr>
            <w:tcW w:w="3001" w:type="dxa"/>
            <w:vAlign w:val="center"/>
          </w:tcPr>
          <w:p w14:paraId="6EE486EB" w14:textId="77777777" w:rsidR="00463E2C" w:rsidRPr="0039208B" w:rsidRDefault="00463E2C" w:rsidP="00A63813">
            <w:pPr>
              <w:pStyle w:val="Akapitzlist"/>
              <w:ind w:left="0"/>
              <w:jc w:val="center"/>
              <w:rPr>
                <w:b/>
                <w:sz w:val="16"/>
                <w:szCs w:val="16"/>
              </w:rPr>
            </w:pPr>
            <w:r w:rsidRPr="0039208B">
              <w:rPr>
                <w:b/>
                <w:sz w:val="16"/>
                <w:szCs w:val="16"/>
              </w:rPr>
              <w:t xml:space="preserve">Wskazanie </w:t>
            </w:r>
            <w:r>
              <w:rPr>
                <w:b/>
                <w:sz w:val="16"/>
                <w:szCs w:val="16"/>
              </w:rPr>
              <w:t>zgodności projektu z programem</w:t>
            </w:r>
          </w:p>
        </w:tc>
        <w:tc>
          <w:tcPr>
            <w:tcW w:w="1417" w:type="dxa"/>
            <w:vAlign w:val="center"/>
          </w:tcPr>
          <w:p w14:paraId="5018D4CA" w14:textId="77777777" w:rsidR="00463E2C" w:rsidRPr="0039208B" w:rsidRDefault="00463E2C" w:rsidP="00A63813">
            <w:pPr>
              <w:pStyle w:val="Akapitzlist"/>
              <w:ind w:left="0"/>
              <w:jc w:val="center"/>
              <w:rPr>
                <w:b/>
                <w:sz w:val="16"/>
                <w:szCs w:val="16"/>
              </w:rPr>
            </w:pPr>
            <w:r w:rsidRPr="009022B2">
              <w:rPr>
                <w:b/>
                <w:sz w:val="16"/>
                <w:szCs w:val="16"/>
              </w:rPr>
              <w:t>Planowane źródło finansowania, w przypadku finansowania w ramach FEM 21-27 wskazanie konkretnego CS, działania, typu projektu</w:t>
            </w:r>
          </w:p>
        </w:tc>
        <w:tc>
          <w:tcPr>
            <w:tcW w:w="1134" w:type="dxa"/>
            <w:vAlign w:val="center"/>
          </w:tcPr>
          <w:p w14:paraId="63A8271E" w14:textId="77777777" w:rsidR="00463E2C" w:rsidRPr="00BE1B9E" w:rsidRDefault="00463E2C" w:rsidP="00A63813">
            <w:pPr>
              <w:pStyle w:val="Akapitzlist"/>
              <w:ind w:left="0"/>
              <w:jc w:val="center"/>
              <w:rPr>
                <w:b/>
                <w:sz w:val="16"/>
                <w:szCs w:val="16"/>
              </w:rPr>
            </w:pPr>
            <w:r w:rsidRPr="00BE1B9E">
              <w:rPr>
                <w:b/>
                <w:sz w:val="18"/>
                <w:szCs w:val="18"/>
              </w:rPr>
              <w:t xml:space="preserve">Szacunkowa wartość wkładu UE </w:t>
            </w:r>
            <w:r w:rsidRPr="00BE1B9E">
              <w:rPr>
                <w:b/>
                <w:sz w:val="16"/>
                <w:szCs w:val="16"/>
              </w:rPr>
              <w:t>(euro)</w:t>
            </w:r>
            <w:r>
              <w:rPr>
                <w:b/>
                <w:sz w:val="16"/>
                <w:szCs w:val="16"/>
              </w:rPr>
              <w:t>*</w:t>
            </w:r>
          </w:p>
        </w:tc>
        <w:tc>
          <w:tcPr>
            <w:tcW w:w="968" w:type="dxa"/>
            <w:vAlign w:val="center"/>
          </w:tcPr>
          <w:p w14:paraId="44F18CA7" w14:textId="77777777" w:rsidR="00463E2C" w:rsidRPr="0039208B" w:rsidRDefault="00463E2C" w:rsidP="00A63813">
            <w:pPr>
              <w:pStyle w:val="Akapitzlist"/>
              <w:ind w:left="0"/>
              <w:jc w:val="center"/>
              <w:rPr>
                <w:b/>
                <w:sz w:val="16"/>
                <w:szCs w:val="16"/>
              </w:rPr>
            </w:pPr>
            <w:r w:rsidRPr="0039208B">
              <w:rPr>
                <w:b/>
                <w:sz w:val="16"/>
                <w:szCs w:val="16"/>
              </w:rPr>
              <w:t xml:space="preserve">Planowany </w:t>
            </w:r>
            <w:r w:rsidRPr="0039208B">
              <w:rPr>
                <w:b/>
                <w:sz w:val="16"/>
                <w:szCs w:val="16"/>
                <w:u w:val="single"/>
              </w:rPr>
              <w:t>maksymalny</w:t>
            </w:r>
            <w:r w:rsidRPr="0039208B">
              <w:rPr>
                <w:b/>
                <w:sz w:val="16"/>
                <w:szCs w:val="16"/>
              </w:rPr>
              <w:t xml:space="preserve"> okres realizacji (w latach)</w:t>
            </w:r>
          </w:p>
        </w:tc>
        <w:tc>
          <w:tcPr>
            <w:tcW w:w="2977" w:type="dxa"/>
            <w:vAlign w:val="center"/>
          </w:tcPr>
          <w:p w14:paraId="01ADCBF2" w14:textId="77777777" w:rsidR="00463E2C" w:rsidRPr="0039208B" w:rsidRDefault="00463E2C" w:rsidP="00A63813">
            <w:pPr>
              <w:pStyle w:val="Akapitzlist"/>
              <w:ind w:left="0"/>
              <w:jc w:val="center"/>
              <w:rPr>
                <w:b/>
                <w:sz w:val="16"/>
                <w:szCs w:val="16"/>
              </w:rPr>
            </w:pPr>
            <w:r w:rsidRPr="0039208B">
              <w:rPr>
                <w:b/>
                <w:sz w:val="16"/>
                <w:szCs w:val="16"/>
              </w:rPr>
              <w:t>Powiązani</w:t>
            </w:r>
            <w:r>
              <w:rPr>
                <w:b/>
                <w:sz w:val="16"/>
                <w:szCs w:val="16"/>
              </w:rPr>
              <w:t>e z innymi projektami</w:t>
            </w:r>
          </w:p>
        </w:tc>
      </w:tr>
      <w:tr w:rsidR="00185AB6" w14:paraId="0F3CA1D6" w14:textId="77777777" w:rsidTr="00023F75">
        <w:trPr>
          <w:trHeight w:val="20"/>
        </w:trPr>
        <w:tc>
          <w:tcPr>
            <w:tcW w:w="1134" w:type="dxa"/>
            <w:vMerge w:val="restart"/>
            <w:shd w:val="clear" w:color="auto" w:fill="D9D9D9" w:themeFill="background1" w:themeFillShade="D9"/>
          </w:tcPr>
          <w:p w14:paraId="5710BE6C" w14:textId="3B5A012D" w:rsidR="00185AB6" w:rsidRPr="00B70355" w:rsidRDefault="00185AB6" w:rsidP="00A63813">
            <w:pPr>
              <w:pStyle w:val="Akapitzlist"/>
              <w:ind w:left="0"/>
              <w:rPr>
                <w:sz w:val="16"/>
              </w:rPr>
            </w:pPr>
            <w:r w:rsidRPr="00463E2C">
              <w:rPr>
                <w:sz w:val="16"/>
              </w:rPr>
              <w:t>ROZWÓJ OFERTY TURYSTYCZNEJ OF OLKUSZA</w:t>
            </w:r>
          </w:p>
        </w:tc>
        <w:tc>
          <w:tcPr>
            <w:tcW w:w="4136" w:type="dxa"/>
            <w:vMerge w:val="restart"/>
            <w:shd w:val="clear" w:color="auto" w:fill="D9D9D9" w:themeFill="background1" w:themeFillShade="D9"/>
          </w:tcPr>
          <w:p w14:paraId="4F4BBFD1" w14:textId="7EBA10A6" w:rsidR="00185AB6" w:rsidRDefault="00185AB6" w:rsidP="00A63813">
            <w:pPr>
              <w:pStyle w:val="Akapitzlist"/>
              <w:ind w:left="0"/>
              <w:rPr>
                <w:sz w:val="16"/>
              </w:rPr>
            </w:pPr>
            <w:r w:rsidRPr="001F75B0">
              <w:rPr>
                <w:sz w:val="16"/>
              </w:rPr>
              <w:t>Przedsięwzięcie jest zgodne z założeniami 1 Celu IIT</w:t>
            </w:r>
            <w:r>
              <w:rPr>
                <w:sz w:val="16"/>
              </w:rPr>
              <w:t xml:space="preserve"> </w:t>
            </w:r>
            <w:r w:rsidRPr="001F75B0">
              <w:rPr>
                <w:sz w:val="16"/>
              </w:rPr>
              <w:t>Rozwój funkcji turystycznych obszaru funkcjonalnego Olkusza</w:t>
            </w:r>
            <w:r>
              <w:rPr>
                <w:sz w:val="16"/>
              </w:rPr>
              <w:t xml:space="preserve">. </w:t>
            </w:r>
          </w:p>
          <w:p w14:paraId="280A8EEB" w14:textId="77777777" w:rsidR="00185AB6" w:rsidRDefault="00185AB6" w:rsidP="00A63813">
            <w:pPr>
              <w:pStyle w:val="Akapitzlist"/>
              <w:ind w:left="0"/>
              <w:rPr>
                <w:sz w:val="16"/>
              </w:rPr>
            </w:pPr>
          </w:p>
          <w:p w14:paraId="1C4C7421" w14:textId="57E40374" w:rsidR="00185AB6" w:rsidRDefault="00185AB6" w:rsidP="00A63813">
            <w:pPr>
              <w:pStyle w:val="Akapitzlist"/>
              <w:ind w:left="0"/>
              <w:rPr>
                <w:sz w:val="16"/>
              </w:rPr>
            </w:pPr>
            <w:r w:rsidRPr="001F75B0">
              <w:rPr>
                <w:sz w:val="16"/>
              </w:rPr>
              <w:t xml:space="preserve">Zakres przedsięwzięcia został wskazany w odniesieniu do zdiagnozowanych potrzeb i wyzwań rozwojowych w </w:t>
            </w:r>
            <w:r>
              <w:rPr>
                <w:sz w:val="16"/>
              </w:rPr>
              <w:t xml:space="preserve">zakresie funkcji turystycznych OF Olkusza. Z diagnozy strategicznej przeprowadzonej na potrzeby strategii wynika, że obszar funkcjonalny posiada wysoki potencjał w postaci walorów historyczno-kulturowych i przyrodniczo-krajobrazowych, które sprzyjają rozwojowi funkcji turystycznych partnerskich gmin. Potencjał ten jest obecnie niedostatecznie wykorzystany m.in. ze względu braki w infrastrukturze oraz niski poziom zintegrowania oferty turystycznej OF. </w:t>
            </w:r>
          </w:p>
          <w:p w14:paraId="64242B84" w14:textId="77777777" w:rsidR="00185AB6" w:rsidRDefault="00185AB6" w:rsidP="005F1CE7">
            <w:pPr>
              <w:pStyle w:val="Akapitzlist"/>
              <w:ind w:left="0"/>
              <w:rPr>
                <w:sz w:val="16"/>
              </w:rPr>
            </w:pPr>
          </w:p>
          <w:p w14:paraId="105690E6" w14:textId="2DFF79B7" w:rsidR="00011AA9" w:rsidRDefault="00185AB6" w:rsidP="00E93ACB">
            <w:pPr>
              <w:pStyle w:val="Akapitzlist"/>
              <w:ind w:left="0"/>
              <w:rPr>
                <w:sz w:val="16"/>
              </w:rPr>
            </w:pPr>
            <w:r>
              <w:rPr>
                <w:sz w:val="16"/>
              </w:rPr>
              <w:t xml:space="preserve">Przedsięwzięcie ma zintegrowany charakter. Stanowi ono element integrujący </w:t>
            </w:r>
            <w:r w:rsidRPr="001F75B0">
              <w:rPr>
                <w:sz w:val="16"/>
              </w:rPr>
              <w:t>ofertę turystyczną OF Olkusza – bazuje bowiem na kluczowych potencjałach Obszaru: walorach przyrodniczo-krajobrazowych (Pustynia Błędowska, walory Jury Krakowsko-Częstochowskiej) oraz historyczno-kulturowych (</w:t>
            </w:r>
            <w:r w:rsidR="00010890">
              <w:rPr>
                <w:sz w:val="16"/>
              </w:rPr>
              <w:t xml:space="preserve">średniowieczne zabytki, </w:t>
            </w:r>
            <w:r w:rsidRPr="001F75B0">
              <w:rPr>
                <w:sz w:val="16"/>
              </w:rPr>
              <w:t>dziedzictwo przemysłowe, historia górnictwa na Ziemi Olkuskiej).</w:t>
            </w:r>
            <w:r>
              <w:rPr>
                <w:sz w:val="16"/>
              </w:rPr>
              <w:t xml:space="preserve"> </w:t>
            </w:r>
            <w:r w:rsidR="00011AA9">
              <w:rPr>
                <w:sz w:val="16"/>
              </w:rPr>
              <w:t>W jego ramach wspierane bę</w:t>
            </w:r>
            <w:r w:rsidR="007A287A">
              <w:rPr>
                <w:sz w:val="16"/>
              </w:rPr>
              <w:t>dą produkty turystyczne o </w:t>
            </w:r>
            <w:r w:rsidR="00011AA9">
              <w:rPr>
                <w:sz w:val="16"/>
              </w:rPr>
              <w:t xml:space="preserve">ponadlokalnym charakterze, skoncentrowane wokół kluczowych atrakcji turystycznych OF </w:t>
            </w:r>
          </w:p>
          <w:p w14:paraId="227443A2" w14:textId="213B3B2A" w:rsidR="00011AA9" w:rsidRDefault="00011AA9" w:rsidP="00E93ACB">
            <w:pPr>
              <w:pStyle w:val="Akapitzlist"/>
              <w:ind w:left="0"/>
              <w:rPr>
                <w:sz w:val="16"/>
              </w:rPr>
            </w:pPr>
            <w:r>
              <w:rPr>
                <w:sz w:val="16"/>
              </w:rPr>
              <w:t>(Pustynia Błędowska i Zamek Rabsztyn).</w:t>
            </w:r>
          </w:p>
          <w:p w14:paraId="3311C43B" w14:textId="120F6BFE" w:rsidR="00F92340" w:rsidRDefault="00F92340" w:rsidP="00E93ACB">
            <w:pPr>
              <w:pStyle w:val="Akapitzlist"/>
              <w:ind w:left="0"/>
              <w:rPr>
                <w:sz w:val="16"/>
              </w:rPr>
            </w:pPr>
            <w:r w:rsidRPr="00F92340">
              <w:rPr>
                <w:sz w:val="16"/>
              </w:rPr>
              <w:t xml:space="preserve">Zakłada się, że w efekcie realizacji zadania podniesie </w:t>
            </w:r>
            <w:r>
              <w:rPr>
                <w:sz w:val="16"/>
              </w:rPr>
              <w:t xml:space="preserve">się poziom atrakcyjności </w:t>
            </w:r>
            <w:r w:rsidR="00011AA9">
              <w:rPr>
                <w:sz w:val="16"/>
              </w:rPr>
              <w:t>oferty turystycznej</w:t>
            </w:r>
            <w:r>
              <w:rPr>
                <w:sz w:val="16"/>
              </w:rPr>
              <w:t xml:space="preserve"> OF, </w:t>
            </w:r>
            <w:r w:rsidRPr="00F92340">
              <w:rPr>
                <w:sz w:val="16"/>
              </w:rPr>
              <w:t xml:space="preserve">a tym samym zwiększeniu ulegnie </w:t>
            </w:r>
            <w:r w:rsidR="007A287A">
              <w:rPr>
                <w:sz w:val="16"/>
              </w:rPr>
              <w:t>natężenie ruchu turystycznego w </w:t>
            </w:r>
            <w:r w:rsidRPr="00F92340">
              <w:rPr>
                <w:sz w:val="16"/>
              </w:rPr>
              <w:t>partnerskich gminach.</w:t>
            </w:r>
          </w:p>
          <w:p w14:paraId="2675E19F" w14:textId="137E49AE" w:rsidR="00185AB6" w:rsidRDefault="00185AB6" w:rsidP="00E93ACB">
            <w:pPr>
              <w:pStyle w:val="Akapitzlist"/>
              <w:ind w:left="0"/>
              <w:rPr>
                <w:sz w:val="16"/>
              </w:rPr>
            </w:pPr>
            <w:r>
              <w:rPr>
                <w:sz w:val="16"/>
              </w:rPr>
              <w:t>Wykorzystanie potencjału ponadlokalnych atrakcji takich jak Pustynia Błędowska i Zamek Rabsztyn umożliwi rozwój całego OF Olkusza poprzez odpowiednie ukierunkowanie ruchu turystycznego na</w:t>
            </w:r>
            <w:r w:rsidRPr="00E93ACB">
              <w:rPr>
                <w:sz w:val="16"/>
              </w:rPr>
              <w:t xml:space="preserve"> inne, niedostatecznie odkryte do tej pory miejsca zlokalizow</w:t>
            </w:r>
            <w:r w:rsidR="007A287A">
              <w:rPr>
                <w:sz w:val="16"/>
              </w:rPr>
              <w:t>ane na terenie gmin: Bolesław i </w:t>
            </w:r>
            <w:r w:rsidRPr="00E93ACB">
              <w:rPr>
                <w:sz w:val="16"/>
              </w:rPr>
              <w:t>Olkusz.</w:t>
            </w:r>
          </w:p>
          <w:p w14:paraId="38661AE7" w14:textId="40B2F7C5" w:rsidR="00185AB6" w:rsidRPr="00B70355" w:rsidRDefault="00185AB6" w:rsidP="00E93ACB">
            <w:pPr>
              <w:pStyle w:val="Akapitzlist"/>
              <w:ind w:left="0"/>
              <w:rPr>
                <w:sz w:val="16"/>
              </w:rPr>
            </w:pPr>
            <w:r w:rsidRPr="00185AB6">
              <w:rPr>
                <w:sz w:val="16"/>
              </w:rPr>
              <w:t>Rozwój ponadlokalnej oferty turystycznej będzie stanowił element tworzący warunki do</w:t>
            </w:r>
            <w:r w:rsidR="007A287A">
              <w:rPr>
                <w:sz w:val="16"/>
              </w:rPr>
              <w:t xml:space="preserve"> rozwoju branży turystycznej, a </w:t>
            </w:r>
            <w:r w:rsidRPr="00185AB6">
              <w:rPr>
                <w:sz w:val="16"/>
              </w:rPr>
              <w:t>tym samym wzmacniani</w:t>
            </w:r>
            <w:r w:rsidR="007A287A">
              <w:rPr>
                <w:sz w:val="16"/>
              </w:rPr>
              <w:t>a lokalnej gospodarki i </w:t>
            </w:r>
            <w:r w:rsidRPr="00185AB6">
              <w:rPr>
                <w:sz w:val="16"/>
              </w:rPr>
              <w:t>podniesienia poziomu jej konkurencyjności w regionie. Zakłada się, że rozbudowa oferty turystycznej przełoży się na wzrost natężenia ruchu turystycznego w OF, co z kolei stworzy warunki do rozwoju lokalnych przedsiębiorstw m.in. z branży hotelarskiej czy gastronomicznej w partnerskich gminach</w:t>
            </w:r>
            <w:r>
              <w:rPr>
                <w:sz w:val="16"/>
              </w:rPr>
              <w:t>.</w:t>
            </w:r>
          </w:p>
        </w:tc>
        <w:tc>
          <w:tcPr>
            <w:tcW w:w="1960" w:type="dxa"/>
            <w:vMerge w:val="restart"/>
            <w:shd w:val="clear" w:color="auto" w:fill="D9D9D9" w:themeFill="background1" w:themeFillShade="D9"/>
          </w:tcPr>
          <w:p w14:paraId="242083C7" w14:textId="77777777" w:rsidR="00C94D13" w:rsidRPr="00EF0A6B" w:rsidRDefault="00C94D13" w:rsidP="00C94D13">
            <w:pPr>
              <w:pStyle w:val="Akapitzlist"/>
              <w:ind w:left="0"/>
              <w:rPr>
                <w:b/>
                <w:sz w:val="16"/>
              </w:rPr>
            </w:pPr>
            <w:r w:rsidRPr="00EF0A6B">
              <w:rPr>
                <w:b/>
                <w:sz w:val="16"/>
              </w:rPr>
              <w:t xml:space="preserve">Wskaźniki </w:t>
            </w:r>
            <w:r>
              <w:rPr>
                <w:b/>
                <w:sz w:val="16"/>
              </w:rPr>
              <w:t>produktu</w:t>
            </w:r>
            <w:r w:rsidRPr="00EF0A6B">
              <w:rPr>
                <w:b/>
                <w:sz w:val="16"/>
              </w:rPr>
              <w:t>:</w:t>
            </w:r>
          </w:p>
          <w:p w14:paraId="0E6C417D" w14:textId="77777777" w:rsidR="00C94D13" w:rsidRDefault="00C94D13" w:rsidP="00C94D13">
            <w:pPr>
              <w:pStyle w:val="Akapitzlist"/>
              <w:ind w:left="0"/>
              <w:rPr>
                <w:b/>
                <w:sz w:val="16"/>
              </w:rPr>
            </w:pPr>
          </w:p>
          <w:p w14:paraId="6A1903DE" w14:textId="0194A28C" w:rsidR="00C94D13" w:rsidRDefault="00C94D13" w:rsidP="00C94D13">
            <w:pPr>
              <w:pStyle w:val="Akapitzlist"/>
              <w:ind w:left="0"/>
              <w:rPr>
                <w:sz w:val="16"/>
              </w:rPr>
            </w:pPr>
            <w:r w:rsidRPr="00EF0A6B">
              <w:rPr>
                <w:sz w:val="16"/>
              </w:rPr>
              <w:t xml:space="preserve">RCO74 - Ludność objęta projektami w ramach strategii zintegrowanego rozwoju </w:t>
            </w:r>
            <w:r w:rsidRPr="009B4448">
              <w:rPr>
                <w:sz w:val="16"/>
              </w:rPr>
              <w:t>terytorialnego:</w:t>
            </w:r>
            <w:r w:rsidR="00061830">
              <w:t xml:space="preserve"> </w:t>
            </w:r>
            <w:r w:rsidR="00061830" w:rsidRPr="00061830">
              <w:rPr>
                <w:sz w:val="16"/>
              </w:rPr>
              <w:t>65</w:t>
            </w:r>
            <w:r w:rsidR="00061830">
              <w:rPr>
                <w:sz w:val="16"/>
              </w:rPr>
              <w:t> </w:t>
            </w:r>
            <w:r w:rsidR="00061830" w:rsidRPr="00061830">
              <w:rPr>
                <w:sz w:val="16"/>
              </w:rPr>
              <w:t>155</w:t>
            </w:r>
            <w:r w:rsidR="00061830">
              <w:rPr>
                <w:sz w:val="16"/>
              </w:rPr>
              <w:t xml:space="preserve"> </w:t>
            </w:r>
            <w:r w:rsidRPr="00E415E4">
              <w:rPr>
                <w:sz w:val="16"/>
              </w:rPr>
              <w:t>osób</w:t>
            </w:r>
          </w:p>
          <w:p w14:paraId="5CB642F9" w14:textId="77777777" w:rsidR="00C94D13" w:rsidRDefault="00C94D13" w:rsidP="00C94D13">
            <w:pPr>
              <w:pStyle w:val="Akapitzlist"/>
              <w:ind w:left="0"/>
              <w:rPr>
                <w:sz w:val="16"/>
              </w:rPr>
            </w:pPr>
          </w:p>
          <w:p w14:paraId="573436CD" w14:textId="1DEAE272" w:rsidR="00C94D13" w:rsidRDefault="00C94D13" w:rsidP="00C94D13">
            <w:pPr>
              <w:pStyle w:val="Akapitzlist"/>
              <w:ind w:left="0"/>
              <w:rPr>
                <w:sz w:val="16"/>
              </w:rPr>
            </w:pPr>
            <w:r w:rsidRPr="00EF0A6B">
              <w:rPr>
                <w:sz w:val="16"/>
              </w:rPr>
              <w:t>RCO75 - Wspierane strategie zintegrowanego rozwoju terytorialnego</w:t>
            </w:r>
            <w:r>
              <w:rPr>
                <w:sz w:val="16"/>
              </w:rPr>
              <w:t>: 2</w:t>
            </w:r>
          </w:p>
          <w:p w14:paraId="09274957" w14:textId="77777777" w:rsidR="00C94D13" w:rsidRDefault="00C94D13" w:rsidP="00C94D13">
            <w:pPr>
              <w:pStyle w:val="Akapitzlist"/>
              <w:ind w:left="0"/>
              <w:rPr>
                <w:sz w:val="16"/>
              </w:rPr>
            </w:pPr>
          </w:p>
          <w:p w14:paraId="6FD2B32A" w14:textId="1A726D9C" w:rsidR="00C94D13" w:rsidRDefault="00C94D13" w:rsidP="00C94D13">
            <w:pPr>
              <w:pStyle w:val="Akapitzlist"/>
              <w:ind w:left="0"/>
              <w:rPr>
                <w:sz w:val="16"/>
              </w:rPr>
            </w:pPr>
            <w:r w:rsidRPr="00C94D13">
              <w:rPr>
                <w:sz w:val="16"/>
              </w:rPr>
              <w:t>WLWK-RCO077 - Liczba obiektów kulturalnych i turystycznych objętych wsparciem</w:t>
            </w:r>
            <w:r>
              <w:rPr>
                <w:sz w:val="16"/>
              </w:rPr>
              <w:t>: 2 szt.</w:t>
            </w:r>
          </w:p>
          <w:p w14:paraId="48B1FF62" w14:textId="77777777" w:rsidR="00C743C3" w:rsidRDefault="00C743C3" w:rsidP="00C94D13">
            <w:pPr>
              <w:pStyle w:val="Akapitzlist"/>
              <w:ind w:left="0"/>
              <w:rPr>
                <w:sz w:val="16"/>
              </w:rPr>
            </w:pPr>
          </w:p>
          <w:p w14:paraId="6F9F1E94" w14:textId="2A783BCB" w:rsidR="00C743C3" w:rsidRDefault="00C743C3" w:rsidP="00C94D13">
            <w:pPr>
              <w:pStyle w:val="Akapitzlist"/>
              <w:ind w:left="0"/>
              <w:rPr>
                <w:sz w:val="16"/>
              </w:rPr>
            </w:pPr>
            <w:r w:rsidRPr="00C743C3">
              <w:rPr>
                <w:sz w:val="16"/>
              </w:rPr>
              <w:t>Liczba obiektów dostosowanych do potrzeb osób z niepełnosprawnościami (EFRR/FST/FS)</w:t>
            </w:r>
            <w:r>
              <w:rPr>
                <w:sz w:val="16"/>
              </w:rPr>
              <w:t>: 2 obiekty</w:t>
            </w:r>
          </w:p>
          <w:p w14:paraId="39EF7990" w14:textId="77777777" w:rsidR="00C94D13" w:rsidRDefault="00C94D13" w:rsidP="00C94D13">
            <w:pPr>
              <w:pStyle w:val="Akapitzlist"/>
              <w:ind w:left="0"/>
              <w:rPr>
                <w:b/>
                <w:sz w:val="16"/>
              </w:rPr>
            </w:pPr>
          </w:p>
          <w:p w14:paraId="331752E5" w14:textId="77777777" w:rsidR="00C94D13" w:rsidRPr="00EF0A6B" w:rsidRDefault="00C94D13" w:rsidP="00C94D13">
            <w:pPr>
              <w:pStyle w:val="Akapitzlist"/>
              <w:ind w:left="0"/>
              <w:rPr>
                <w:b/>
                <w:sz w:val="16"/>
              </w:rPr>
            </w:pPr>
            <w:r w:rsidRPr="00EF0A6B">
              <w:rPr>
                <w:b/>
                <w:sz w:val="16"/>
              </w:rPr>
              <w:t>Wskaźniki rezultatu:</w:t>
            </w:r>
          </w:p>
          <w:p w14:paraId="20D3DCE8" w14:textId="77777777" w:rsidR="00C94D13" w:rsidRDefault="00C94D13" w:rsidP="00C94D13">
            <w:pPr>
              <w:pStyle w:val="Akapitzlist"/>
              <w:ind w:left="0"/>
              <w:rPr>
                <w:b/>
                <w:sz w:val="16"/>
              </w:rPr>
            </w:pPr>
          </w:p>
          <w:p w14:paraId="7ACE6F38" w14:textId="18CB5566" w:rsidR="00C94D13" w:rsidRPr="00EF0A6B" w:rsidRDefault="00C94D13" w:rsidP="00C94D13">
            <w:pPr>
              <w:rPr>
                <w:sz w:val="16"/>
              </w:rPr>
            </w:pPr>
            <w:r w:rsidRPr="00EF0A6B">
              <w:rPr>
                <w:sz w:val="16"/>
              </w:rPr>
              <w:t xml:space="preserve">WLWK-PLRR062 - </w:t>
            </w:r>
            <w:r w:rsidRPr="00C94D13">
              <w:rPr>
                <w:sz w:val="16"/>
              </w:rPr>
              <w:t xml:space="preserve">WLWK-RCR077 - Liczba osób odwiedzających obiekty kulturalne i turystyczne objęte </w:t>
            </w:r>
            <w:r w:rsidRPr="00F008DB">
              <w:rPr>
                <w:sz w:val="16"/>
              </w:rPr>
              <w:t xml:space="preserve">wsparciem: </w:t>
            </w:r>
            <w:r w:rsidR="003E4754">
              <w:rPr>
                <w:sz w:val="16"/>
              </w:rPr>
              <w:t>161</w:t>
            </w:r>
            <w:r w:rsidR="00F008DB" w:rsidRPr="00F008DB">
              <w:rPr>
                <w:sz w:val="16"/>
              </w:rPr>
              <w:t xml:space="preserve"> 000</w:t>
            </w:r>
            <w:r w:rsidR="00F008DB">
              <w:rPr>
                <w:sz w:val="16"/>
              </w:rPr>
              <w:t xml:space="preserve"> osób</w:t>
            </w:r>
            <w:r w:rsidRPr="00F008DB">
              <w:rPr>
                <w:sz w:val="16"/>
              </w:rPr>
              <w:t>/rok</w:t>
            </w:r>
          </w:p>
          <w:p w14:paraId="4022ED21" w14:textId="77777777" w:rsidR="00185AB6" w:rsidRPr="00EF0A6B" w:rsidRDefault="00185AB6" w:rsidP="00A63813">
            <w:pPr>
              <w:pStyle w:val="Akapitzlist"/>
              <w:ind w:left="0"/>
              <w:rPr>
                <w:sz w:val="16"/>
              </w:rPr>
            </w:pPr>
          </w:p>
        </w:tc>
        <w:tc>
          <w:tcPr>
            <w:tcW w:w="425" w:type="dxa"/>
          </w:tcPr>
          <w:p w14:paraId="16EFE355" w14:textId="7BC707D7" w:rsidR="00185AB6" w:rsidRPr="0039208B" w:rsidRDefault="00185AB6" w:rsidP="00A63813">
            <w:pPr>
              <w:pStyle w:val="Akapitzlist"/>
              <w:ind w:left="0"/>
              <w:rPr>
                <w:sz w:val="16"/>
                <w:szCs w:val="16"/>
              </w:rPr>
            </w:pPr>
            <w:r>
              <w:rPr>
                <w:sz w:val="16"/>
                <w:szCs w:val="16"/>
              </w:rPr>
              <w:t>1</w:t>
            </w:r>
          </w:p>
        </w:tc>
        <w:tc>
          <w:tcPr>
            <w:tcW w:w="1867" w:type="dxa"/>
          </w:tcPr>
          <w:p w14:paraId="0BF0ED47" w14:textId="201D3690" w:rsidR="00185AB6" w:rsidRPr="0097298C" w:rsidRDefault="00185AB6" w:rsidP="00A63813">
            <w:pPr>
              <w:pStyle w:val="Akapitzlist"/>
              <w:ind w:left="0"/>
              <w:rPr>
                <w:i/>
                <w:sz w:val="16"/>
                <w:szCs w:val="16"/>
              </w:rPr>
            </w:pPr>
            <w:r w:rsidRPr="00463E2C">
              <w:rPr>
                <w:i/>
                <w:sz w:val="16"/>
                <w:szCs w:val="16"/>
              </w:rPr>
              <w:t>Przeniesienie wieży szybowej Dąbrówka i jej aranżacja na wieżę widokową na Pustyni Błędowskiej</w:t>
            </w:r>
          </w:p>
        </w:tc>
        <w:tc>
          <w:tcPr>
            <w:tcW w:w="992" w:type="dxa"/>
          </w:tcPr>
          <w:p w14:paraId="34CB7584" w14:textId="496A8AF7" w:rsidR="00185AB6" w:rsidRPr="0097298C" w:rsidRDefault="00185AB6" w:rsidP="00A63813">
            <w:pPr>
              <w:pStyle w:val="Akapitzlist"/>
              <w:ind w:left="0"/>
              <w:rPr>
                <w:sz w:val="16"/>
              </w:rPr>
            </w:pPr>
            <w:r w:rsidRPr="00463E2C">
              <w:rPr>
                <w:sz w:val="16"/>
              </w:rPr>
              <w:t>Gmina Klucze</w:t>
            </w:r>
          </w:p>
        </w:tc>
        <w:tc>
          <w:tcPr>
            <w:tcW w:w="2953" w:type="dxa"/>
          </w:tcPr>
          <w:p w14:paraId="7C680FAF" w14:textId="6AAA5E46" w:rsidR="00185AB6" w:rsidRPr="0039208B" w:rsidRDefault="00185AB6" w:rsidP="007A287A">
            <w:pPr>
              <w:rPr>
                <w:sz w:val="16"/>
                <w:szCs w:val="16"/>
              </w:rPr>
            </w:pPr>
            <w:r w:rsidRPr="00463E2C">
              <w:rPr>
                <w:sz w:val="16"/>
                <w:szCs w:val="16"/>
              </w:rPr>
              <w:t xml:space="preserve">Przedmiotem projektu jest przeniesienie historycznego obiektu wieży wyciągowej szybu „Dąbrówka”, po zlikwidowanej kopalni cynku i ołowiu w Olkuszu, w celu rozwoju ponadlokalnej oferty turystycznej w formie aranżacji </w:t>
            </w:r>
            <w:r w:rsidR="007A287A">
              <w:rPr>
                <w:sz w:val="16"/>
                <w:szCs w:val="16"/>
              </w:rPr>
              <w:t>obiektu</w:t>
            </w:r>
            <w:r w:rsidRPr="00463E2C">
              <w:rPr>
                <w:sz w:val="16"/>
                <w:szCs w:val="16"/>
              </w:rPr>
              <w:t xml:space="preserve"> na potrzeby wieży widokowej na terenie Pustyni Błędowskiej. </w:t>
            </w:r>
          </w:p>
        </w:tc>
        <w:tc>
          <w:tcPr>
            <w:tcW w:w="3001" w:type="dxa"/>
          </w:tcPr>
          <w:p w14:paraId="1524230C" w14:textId="51428FB9" w:rsidR="00D51E3D" w:rsidRDefault="002C428D" w:rsidP="002C428D">
            <w:pPr>
              <w:rPr>
                <w:sz w:val="16"/>
                <w:szCs w:val="16"/>
              </w:rPr>
            </w:pPr>
            <w:r w:rsidRPr="00E05374">
              <w:rPr>
                <w:sz w:val="16"/>
                <w:szCs w:val="16"/>
              </w:rPr>
              <w:t>Projekt realizuje typ projektu</w:t>
            </w:r>
            <w:r w:rsidR="00D51E3D">
              <w:rPr>
                <w:sz w:val="16"/>
                <w:szCs w:val="16"/>
              </w:rPr>
              <w:t xml:space="preserve"> C. Oferta turystyczna </w:t>
            </w:r>
            <w:r w:rsidRPr="00E05374">
              <w:rPr>
                <w:sz w:val="16"/>
                <w:szCs w:val="16"/>
              </w:rPr>
              <w:t xml:space="preserve">w ramach FEM,  będzie realizowany </w:t>
            </w:r>
            <w:r w:rsidR="007A287A">
              <w:rPr>
                <w:sz w:val="16"/>
                <w:szCs w:val="16"/>
              </w:rPr>
              <w:t>na terenie Gminy Klucze, w </w:t>
            </w:r>
            <w:r w:rsidR="00D51E3D">
              <w:rPr>
                <w:sz w:val="16"/>
                <w:szCs w:val="16"/>
              </w:rPr>
              <w:t>obrębie OF Olkusza.</w:t>
            </w:r>
          </w:p>
          <w:p w14:paraId="4C7A6E07" w14:textId="77777777" w:rsidR="00D51E3D" w:rsidRDefault="00D51E3D" w:rsidP="002C428D">
            <w:pPr>
              <w:rPr>
                <w:sz w:val="16"/>
                <w:szCs w:val="16"/>
              </w:rPr>
            </w:pPr>
          </w:p>
          <w:p w14:paraId="7A0E8DC1" w14:textId="4CA52A20" w:rsidR="00D51E3D" w:rsidRDefault="002C428D" w:rsidP="00D51E3D">
            <w:pPr>
              <w:rPr>
                <w:sz w:val="16"/>
                <w:szCs w:val="16"/>
              </w:rPr>
            </w:pPr>
            <w:r w:rsidRPr="00E05374">
              <w:rPr>
                <w:sz w:val="16"/>
                <w:szCs w:val="16"/>
              </w:rPr>
              <w:t xml:space="preserve">Realizacja projektu przyczyni się do </w:t>
            </w:r>
            <w:r w:rsidR="00D51E3D">
              <w:rPr>
                <w:sz w:val="16"/>
                <w:szCs w:val="16"/>
              </w:rPr>
              <w:t>rozwoju ponadlokalnego produktu turystycz</w:t>
            </w:r>
            <w:r w:rsidR="007A287A">
              <w:rPr>
                <w:sz w:val="16"/>
                <w:szCs w:val="16"/>
              </w:rPr>
              <w:t>nego bazującego na potencjale i </w:t>
            </w:r>
            <w:r w:rsidR="00D51E3D">
              <w:rPr>
                <w:sz w:val="16"/>
                <w:szCs w:val="16"/>
              </w:rPr>
              <w:t>walorach kulturowych i przyrodniczych OF Olkusza.</w:t>
            </w:r>
            <w:r w:rsidR="009C3A69">
              <w:rPr>
                <w:sz w:val="16"/>
                <w:szCs w:val="16"/>
              </w:rPr>
              <w:t xml:space="preserve"> </w:t>
            </w:r>
          </w:p>
          <w:p w14:paraId="0FDBD6B1" w14:textId="6A63ED28" w:rsidR="00D51E3D" w:rsidRDefault="009C3A69" w:rsidP="00D51E3D">
            <w:pPr>
              <w:rPr>
                <w:sz w:val="16"/>
                <w:szCs w:val="16"/>
              </w:rPr>
            </w:pPr>
            <w:r>
              <w:rPr>
                <w:sz w:val="16"/>
                <w:szCs w:val="16"/>
              </w:rPr>
              <w:t>Projekt ma</w:t>
            </w:r>
            <w:r w:rsidRPr="009C3A69">
              <w:rPr>
                <w:sz w:val="16"/>
                <w:szCs w:val="16"/>
              </w:rPr>
              <w:t xml:space="preserve"> wpływ na stymulowanie aktywności turystycznej w regionie, wykraczający poza sam projekt</w:t>
            </w:r>
            <w:r>
              <w:rPr>
                <w:sz w:val="16"/>
                <w:szCs w:val="16"/>
              </w:rPr>
              <w:t>, ze względu na ponadlokalne oddziaływanie produktów turystycznych objętych projektem.</w:t>
            </w:r>
          </w:p>
          <w:p w14:paraId="355F8021" w14:textId="77777777" w:rsidR="00D51E3D" w:rsidRDefault="00D51E3D" w:rsidP="002C428D">
            <w:pPr>
              <w:rPr>
                <w:sz w:val="16"/>
                <w:szCs w:val="16"/>
              </w:rPr>
            </w:pPr>
          </w:p>
          <w:p w14:paraId="2DA8B5C8" w14:textId="1690F145" w:rsidR="009C3A69" w:rsidRPr="00E05374" w:rsidRDefault="009C3A69" w:rsidP="009C3A69">
            <w:pPr>
              <w:rPr>
                <w:sz w:val="16"/>
                <w:szCs w:val="16"/>
              </w:rPr>
            </w:pPr>
            <w:r w:rsidRPr="00E05374">
              <w:rPr>
                <w:sz w:val="16"/>
                <w:szCs w:val="16"/>
              </w:rPr>
              <w:t>Obiekt</w:t>
            </w:r>
            <w:r w:rsidR="007A287A">
              <w:rPr>
                <w:sz w:val="16"/>
                <w:szCs w:val="16"/>
              </w:rPr>
              <w:t>y/ infrastruktura realizowane w </w:t>
            </w:r>
            <w:r w:rsidRPr="00E05374">
              <w:rPr>
                <w:sz w:val="16"/>
                <w:szCs w:val="16"/>
              </w:rPr>
              <w:t>ramach projektu będą ogólnodostępne.</w:t>
            </w:r>
          </w:p>
          <w:p w14:paraId="3F2E9865" w14:textId="57A0AB15" w:rsidR="00185AB6" w:rsidRPr="0039208B" w:rsidRDefault="009C3A69" w:rsidP="009C3A69">
            <w:pPr>
              <w:rPr>
                <w:sz w:val="16"/>
                <w:szCs w:val="16"/>
              </w:rPr>
            </w:pPr>
            <w:r w:rsidRPr="00E05374">
              <w:rPr>
                <w:sz w:val="16"/>
                <w:szCs w:val="16"/>
              </w:rPr>
              <w:t>Projekt nie przewiduje realizacji inwestycji w elem</w:t>
            </w:r>
            <w:r w:rsidR="007A287A">
              <w:rPr>
                <w:sz w:val="16"/>
                <w:szCs w:val="16"/>
              </w:rPr>
              <w:t>enty infrastruktury drogowej (w </w:t>
            </w:r>
            <w:r w:rsidRPr="00E05374">
              <w:rPr>
                <w:sz w:val="16"/>
                <w:szCs w:val="16"/>
              </w:rPr>
              <w:t>tym parki</w:t>
            </w:r>
            <w:r w:rsidR="007A287A">
              <w:rPr>
                <w:sz w:val="16"/>
                <w:szCs w:val="16"/>
              </w:rPr>
              <w:t>ngi), infrastrukturę sportową i </w:t>
            </w:r>
            <w:r w:rsidRPr="00E05374">
              <w:rPr>
                <w:sz w:val="16"/>
                <w:szCs w:val="16"/>
              </w:rPr>
              <w:t>rekreacyj</w:t>
            </w:r>
            <w:r w:rsidR="007A287A">
              <w:rPr>
                <w:sz w:val="16"/>
                <w:szCs w:val="16"/>
              </w:rPr>
              <w:t>ną, ani inwestycji związanych z </w:t>
            </w:r>
            <w:r w:rsidRPr="00E05374">
              <w:rPr>
                <w:sz w:val="16"/>
                <w:szCs w:val="16"/>
              </w:rPr>
              <w:t>budynkami służącymi funkcjom administracyjno-zarządczym.</w:t>
            </w:r>
          </w:p>
        </w:tc>
        <w:tc>
          <w:tcPr>
            <w:tcW w:w="1417" w:type="dxa"/>
          </w:tcPr>
          <w:p w14:paraId="79994337" w14:textId="0011021A" w:rsidR="00185AB6" w:rsidRPr="0039208B" w:rsidRDefault="0001741E" w:rsidP="00A63813">
            <w:pPr>
              <w:pStyle w:val="Akapitzlist"/>
              <w:ind w:left="0"/>
              <w:rPr>
                <w:sz w:val="16"/>
                <w:szCs w:val="16"/>
              </w:rPr>
            </w:pPr>
            <w:r w:rsidRPr="00956BBA">
              <w:rPr>
                <w:sz w:val="16"/>
                <w:szCs w:val="16"/>
              </w:rPr>
              <w:t>FEM 2021-2027, CS 5i</w:t>
            </w:r>
            <w:r>
              <w:rPr>
                <w:sz w:val="16"/>
                <w:szCs w:val="16"/>
              </w:rPr>
              <w:t xml:space="preserve">, </w:t>
            </w:r>
            <w:r w:rsidRPr="009022B2">
              <w:rPr>
                <w:sz w:val="16"/>
                <w:szCs w:val="16"/>
              </w:rPr>
              <w:t>Działanie FEMP.07.01 IIT - Wsparcie oddolnych inicjatyw na obszarach miejskich</w:t>
            </w:r>
            <w:r>
              <w:rPr>
                <w:sz w:val="16"/>
                <w:szCs w:val="16"/>
              </w:rPr>
              <w:t>, Typ projektu C. Oferta turystyczna</w:t>
            </w:r>
          </w:p>
        </w:tc>
        <w:tc>
          <w:tcPr>
            <w:tcW w:w="1134" w:type="dxa"/>
          </w:tcPr>
          <w:p w14:paraId="07B47DBC" w14:textId="74D2AE3F" w:rsidR="00185AB6" w:rsidRPr="0039208B" w:rsidRDefault="00DD7070" w:rsidP="00A63813">
            <w:pPr>
              <w:pStyle w:val="Akapitzlist"/>
              <w:ind w:left="0"/>
              <w:rPr>
                <w:sz w:val="16"/>
                <w:szCs w:val="16"/>
              </w:rPr>
            </w:pPr>
            <w:r>
              <w:rPr>
                <w:sz w:val="16"/>
                <w:szCs w:val="16"/>
              </w:rPr>
              <w:t>2 960 640,89</w:t>
            </w:r>
          </w:p>
        </w:tc>
        <w:tc>
          <w:tcPr>
            <w:tcW w:w="968" w:type="dxa"/>
          </w:tcPr>
          <w:p w14:paraId="32484660" w14:textId="5DFC6298" w:rsidR="00185AB6" w:rsidRPr="0039208B" w:rsidRDefault="00A471E6" w:rsidP="00A63813">
            <w:pPr>
              <w:pStyle w:val="Akapitzlist"/>
              <w:ind w:left="0"/>
              <w:rPr>
                <w:sz w:val="16"/>
                <w:szCs w:val="16"/>
              </w:rPr>
            </w:pPr>
            <w:r>
              <w:rPr>
                <w:sz w:val="16"/>
                <w:szCs w:val="16"/>
              </w:rPr>
              <w:t>2025-2026</w:t>
            </w:r>
          </w:p>
        </w:tc>
        <w:tc>
          <w:tcPr>
            <w:tcW w:w="2977" w:type="dxa"/>
          </w:tcPr>
          <w:p w14:paraId="7B970E83" w14:textId="4AD2D8B3" w:rsidR="00010890" w:rsidRDefault="00010890" w:rsidP="00A63813">
            <w:pPr>
              <w:pStyle w:val="Akapitzlist"/>
              <w:ind w:left="0"/>
              <w:rPr>
                <w:sz w:val="16"/>
                <w:szCs w:val="16"/>
              </w:rPr>
            </w:pPr>
            <w:r>
              <w:rPr>
                <w:sz w:val="16"/>
                <w:szCs w:val="16"/>
              </w:rPr>
              <w:t xml:space="preserve">Projekt jest powiązany z projektem nr 2 ze względu na fakt, iż oba </w:t>
            </w:r>
            <w:r w:rsidR="001976EB">
              <w:rPr>
                <w:sz w:val="16"/>
                <w:szCs w:val="16"/>
              </w:rPr>
              <w:t>skupione są na podnoszenie atrakcyjności turystycznej OF Olkusza poprzez rozwijanie ponadlokalnych atrakcji.</w:t>
            </w:r>
          </w:p>
          <w:p w14:paraId="36FE8A3C" w14:textId="77777777" w:rsidR="001976EB" w:rsidRDefault="001976EB" w:rsidP="00A63813">
            <w:pPr>
              <w:pStyle w:val="Akapitzlist"/>
              <w:ind w:left="0"/>
              <w:rPr>
                <w:sz w:val="16"/>
                <w:szCs w:val="16"/>
              </w:rPr>
            </w:pPr>
          </w:p>
          <w:p w14:paraId="5E09FBF5" w14:textId="3DEBC3F1" w:rsidR="001976EB" w:rsidRDefault="001976EB" w:rsidP="00A63813">
            <w:pPr>
              <w:pStyle w:val="Akapitzlist"/>
              <w:ind w:left="0"/>
              <w:rPr>
                <w:sz w:val="16"/>
                <w:szCs w:val="16"/>
              </w:rPr>
            </w:pPr>
            <w:r>
              <w:rPr>
                <w:sz w:val="16"/>
                <w:szCs w:val="16"/>
              </w:rPr>
              <w:t xml:space="preserve">Projekt jest również związany z projektem nr 3, który przestrzennie i funkcjonalnie  integruje ofertę turystyczną OF Olkusza bazującą na walorach </w:t>
            </w:r>
            <w:r w:rsidRPr="00010890">
              <w:rPr>
                <w:sz w:val="16"/>
                <w:szCs w:val="16"/>
              </w:rPr>
              <w:t>przyrodniczo-krajobrazowych (Pustynia Błędowska, walory Jury Krakowsko-Częstochowskiej) oraz historyczno-kulturowych (</w:t>
            </w:r>
            <w:r>
              <w:rPr>
                <w:sz w:val="16"/>
                <w:szCs w:val="16"/>
              </w:rPr>
              <w:t xml:space="preserve">średniowieczne zabytki, </w:t>
            </w:r>
            <w:r w:rsidRPr="00010890">
              <w:rPr>
                <w:sz w:val="16"/>
                <w:szCs w:val="16"/>
              </w:rPr>
              <w:t>dziedzictwo przemysłowe, historia górnictwa na Ziemi Olkuskiej).</w:t>
            </w:r>
          </w:p>
          <w:p w14:paraId="6D14A296" w14:textId="77777777" w:rsidR="00010890" w:rsidRDefault="00010890" w:rsidP="00A63813">
            <w:pPr>
              <w:pStyle w:val="Akapitzlist"/>
              <w:ind w:left="0"/>
              <w:rPr>
                <w:sz w:val="16"/>
                <w:szCs w:val="16"/>
              </w:rPr>
            </w:pPr>
          </w:p>
          <w:p w14:paraId="19C0A9BE" w14:textId="30138C13" w:rsidR="00185AB6" w:rsidRPr="0039208B" w:rsidRDefault="00010890" w:rsidP="00A63813">
            <w:pPr>
              <w:pStyle w:val="Akapitzlist"/>
              <w:ind w:left="0"/>
              <w:rPr>
                <w:sz w:val="16"/>
                <w:szCs w:val="16"/>
              </w:rPr>
            </w:pPr>
            <w:r w:rsidRPr="00010890">
              <w:rPr>
                <w:sz w:val="16"/>
                <w:szCs w:val="16"/>
              </w:rPr>
              <w:t xml:space="preserve">Projekt jest </w:t>
            </w:r>
            <w:r w:rsidR="00B022F6">
              <w:rPr>
                <w:sz w:val="16"/>
                <w:szCs w:val="16"/>
              </w:rPr>
              <w:t xml:space="preserve">także </w:t>
            </w:r>
            <w:r w:rsidRPr="00010890">
              <w:rPr>
                <w:sz w:val="16"/>
                <w:szCs w:val="16"/>
              </w:rPr>
              <w:t xml:space="preserve">powiązany z projektami stanowiącymi element przedsięwzięcia związanego z </w:t>
            </w:r>
            <w:r w:rsidR="00B022F6">
              <w:rPr>
                <w:sz w:val="16"/>
                <w:szCs w:val="16"/>
              </w:rPr>
              <w:t xml:space="preserve">rozwojem oferty kulturalnej OF Olkusza. Bazują one wszystkie bowiem na bogatym dziedzictwie historyczno-kulturowym obszaru, a ich realizacja przełoży się na poprawę </w:t>
            </w:r>
            <w:r w:rsidR="001A5420">
              <w:rPr>
                <w:sz w:val="16"/>
                <w:szCs w:val="16"/>
              </w:rPr>
              <w:t>sytuacji społeczno-gospodarczej OF.</w:t>
            </w:r>
          </w:p>
        </w:tc>
      </w:tr>
      <w:tr w:rsidR="00185AB6" w14:paraId="25199A9F" w14:textId="77777777" w:rsidTr="00023F75">
        <w:trPr>
          <w:trHeight w:val="20"/>
        </w:trPr>
        <w:tc>
          <w:tcPr>
            <w:tcW w:w="1134" w:type="dxa"/>
            <w:vMerge/>
            <w:shd w:val="clear" w:color="auto" w:fill="D9D9D9" w:themeFill="background1" w:themeFillShade="D9"/>
          </w:tcPr>
          <w:p w14:paraId="241950FB" w14:textId="2864C600" w:rsidR="00185AB6" w:rsidRPr="00B70355" w:rsidRDefault="00185AB6" w:rsidP="00A63813">
            <w:pPr>
              <w:pStyle w:val="Akapitzlist"/>
              <w:ind w:left="0"/>
              <w:rPr>
                <w:sz w:val="16"/>
              </w:rPr>
            </w:pPr>
          </w:p>
        </w:tc>
        <w:tc>
          <w:tcPr>
            <w:tcW w:w="4136" w:type="dxa"/>
            <w:vMerge/>
            <w:shd w:val="clear" w:color="auto" w:fill="D9D9D9" w:themeFill="background1" w:themeFillShade="D9"/>
          </w:tcPr>
          <w:p w14:paraId="7A447689" w14:textId="09E26CCE" w:rsidR="00185AB6" w:rsidRPr="00B70355" w:rsidRDefault="00185AB6" w:rsidP="00A63813">
            <w:pPr>
              <w:pStyle w:val="Akapitzlist"/>
              <w:ind w:left="0"/>
              <w:rPr>
                <w:sz w:val="16"/>
              </w:rPr>
            </w:pPr>
          </w:p>
        </w:tc>
        <w:tc>
          <w:tcPr>
            <w:tcW w:w="1960" w:type="dxa"/>
            <w:vMerge/>
            <w:shd w:val="clear" w:color="auto" w:fill="D9D9D9" w:themeFill="background1" w:themeFillShade="D9"/>
          </w:tcPr>
          <w:p w14:paraId="2F845F4E" w14:textId="77777777" w:rsidR="00185AB6" w:rsidRPr="00EF0A6B" w:rsidRDefault="00185AB6" w:rsidP="00A63813">
            <w:pPr>
              <w:pStyle w:val="Akapitzlist"/>
              <w:ind w:left="0"/>
              <w:rPr>
                <w:sz w:val="16"/>
              </w:rPr>
            </w:pPr>
          </w:p>
        </w:tc>
        <w:tc>
          <w:tcPr>
            <w:tcW w:w="425" w:type="dxa"/>
          </w:tcPr>
          <w:p w14:paraId="0448FECB" w14:textId="1D84BDEA" w:rsidR="00185AB6" w:rsidRPr="0039208B" w:rsidRDefault="00185AB6" w:rsidP="00A63813">
            <w:pPr>
              <w:pStyle w:val="Akapitzlist"/>
              <w:ind w:left="0"/>
              <w:rPr>
                <w:sz w:val="16"/>
                <w:szCs w:val="16"/>
              </w:rPr>
            </w:pPr>
            <w:r>
              <w:rPr>
                <w:sz w:val="16"/>
                <w:szCs w:val="16"/>
              </w:rPr>
              <w:t>2</w:t>
            </w:r>
          </w:p>
        </w:tc>
        <w:tc>
          <w:tcPr>
            <w:tcW w:w="1867" w:type="dxa"/>
          </w:tcPr>
          <w:p w14:paraId="7F6361D9" w14:textId="410249B8" w:rsidR="00185AB6" w:rsidRPr="0097298C" w:rsidRDefault="00185AB6" w:rsidP="00A63813">
            <w:pPr>
              <w:pStyle w:val="Akapitzlist"/>
              <w:ind w:left="0"/>
              <w:rPr>
                <w:i/>
                <w:sz w:val="16"/>
                <w:szCs w:val="16"/>
              </w:rPr>
            </w:pPr>
            <w:r w:rsidRPr="00185AB6">
              <w:rPr>
                <w:i/>
                <w:sz w:val="16"/>
                <w:szCs w:val="16"/>
              </w:rPr>
              <w:t>Gościniec rycerski u stóp zamku Rabsztyn</w:t>
            </w:r>
          </w:p>
        </w:tc>
        <w:tc>
          <w:tcPr>
            <w:tcW w:w="992" w:type="dxa"/>
          </w:tcPr>
          <w:p w14:paraId="22ADB333" w14:textId="7FABC58F" w:rsidR="00185AB6" w:rsidRPr="0097298C" w:rsidRDefault="00185AB6" w:rsidP="00A63813">
            <w:pPr>
              <w:pStyle w:val="Akapitzlist"/>
              <w:ind w:left="0"/>
              <w:rPr>
                <w:sz w:val="16"/>
              </w:rPr>
            </w:pPr>
            <w:r w:rsidRPr="00185AB6">
              <w:rPr>
                <w:sz w:val="16"/>
              </w:rPr>
              <w:t>Gmina Olkusz</w:t>
            </w:r>
          </w:p>
        </w:tc>
        <w:tc>
          <w:tcPr>
            <w:tcW w:w="2953" w:type="dxa"/>
          </w:tcPr>
          <w:p w14:paraId="5828BCBE" w14:textId="40AAA147" w:rsidR="0080085C" w:rsidRPr="0080085C" w:rsidRDefault="0080085C" w:rsidP="0080085C">
            <w:pPr>
              <w:rPr>
                <w:sz w:val="16"/>
                <w:szCs w:val="16"/>
              </w:rPr>
            </w:pPr>
            <w:r w:rsidRPr="0080085C">
              <w:rPr>
                <w:sz w:val="16"/>
                <w:szCs w:val="16"/>
              </w:rPr>
              <w:t>W ramach projektu planowane jest stworzenie Gościńca rycerskiego u stóp zamku Rabsztyn, który zostanie zorganizowany w formie "survivalowego" obozowiska wyposażonego w historyczne średniowieczne namioty. Planowane jest zagospodarowanie wzgórza zamkowego na pot</w:t>
            </w:r>
            <w:r w:rsidR="007A287A">
              <w:rPr>
                <w:sz w:val="16"/>
                <w:szCs w:val="16"/>
              </w:rPr>
              <w:t>rzeby ruchu turystycznego w </w:t>
            </w:r>
            <w:r w:rsidRPr="0080085C">
              <w:rPr>
                <w:sz w:val="16"/>
                <w:szCs w:val="16"/>
              </w:rPr>
              <w:t>oparciu o lokalizację punkt</w:t>
            </w:r>
            <w:r w:rsidR="0036231E">
              <w:rPr>
                <w:sz w:val="16"/>
                <w:szCs w:val="16"/>
              </w:rPr>
              <w:t xml:space="preserve">ów wypoczynkowych, wioski rycerskiej, </w:t>
            </w:r>
            <w:r w:rsidRPr="0080085C">
              <w:rPr>
                <w:sz w:val="16"/>
                <w:szCs w:val="16"/>
              </w:rPr>
              <w:t xml:space="preserve">ogrodzenia rycerskiego, a także rozbudowa istniejącego budynku sanitariatów wraz z niezbędną infrastrukturą i mediami. </w:t>
            </w:r>
          </w:p>
          <w:p w14:paraId="7CC07E9F" w14:textId="21AF7989" w:rsidR="00185AB6" w:rsidRPr="0039208B" w:rsidRDefault="00185AB6" w:rsidP="0080085C">
            <w:pPr>
              <w:rPr>
                <w:sz w:val="16"/>
                <w:szCs w:val="16"/>
              </w:rPr>
            </w:pPr>
          </w:p>
        </w:tc>
        <w:tc>
          <w:tcPr>
            <w:tcW w:w="3001" w:type="dxa"/>
          </w:tcPr>
          <w:p w14:paraId="2C243010" w14:textId="3B44353B" w:rsidR="00DC4EB7" w:rsidRDefault="00DC4EB7" w:rsidP="00DC4EB7">
            <w:pPr>
              <w:rPr>
                <w:sz w:val="16"/>
                <w:szCs w:val="16"/>
              </w:rPr>
            </w:pPr>
            <w:r w:rsidRPr="00E05374">
              <w:rPr>
                <w:sz w:val="16"/>
                <w:szCs w:val="16"/>
              </w:rPr>
              <w:t>Projekt realizuje typ projektu</w:t>
            </w:r>
            <w:r>
              <w:rPr>
                <w:sz w:val="16"/>
                <w:szCs w:val="16"/>
              </w:rPr>
              <w:t xml:space="preserve"> C. Oferta turystyczna </w:t>
            </w:r>
            <w:r w:rsidRPr="00E05374">
              <w:rPr>
                <w:sz w:val="16"/>
                <w:szCs w:val="16"/>
              </w:rPr>
              <w:t xml:space="preserve">w ramach FEM,  będzie realizowany </w:t>
            </w:r>
            <w:r w:rsidR="007A287A">
              <w:rPr>
                <w:sz w:val="16"/>
                <w:szCs w:val="16"/>
              </w:rPr>
              <w:t>na terenie Gminy Olkusz, w </w:t>
            </w:r>
            <w:r>
              <w:rPr>
                <w:sz w:val="16"/>
                <w:szCs w:val="16"/>
              </w:rPr>
              <w:t>obrębie OF Olkusza.</w:t>
            </w:r>
          </w:p>
          <w:p w14:paraId="03548F70" w14:textId="77777777" w:rsidR="00DC4EB7" w:rsidRDefault="00DC4EB7" w:rsidP="00DC4EB7">
            <w:pPr>
              <w:rPr>
                <w:sz w:val="16"/>
                <w:szCs w:val="16"/>
              </w:rPr>
            </w:pPr>
          </w:p>
          <w:p w14:paraId="5E0F62F3" w14:textId="63AA0E4A" w:rsidR="00DC4EB7" w:rsidRDefault="00DC4EB7" w:rsidP="00DC4EB7">
            <w:pPr>
              <w:rPr>
                <w:sz w:val="16"/>
                <w:szCs w:val="16"/>
              </w:rPr>
            </w:pPr>
            <w:r w:rsidRPr="00E05374">
              <w:rPr>
                <w:sz w:val="16"/>
                <w:szCs w:val="16"/>
              </w:rPr>
              <w:t xml:space="preserve">Realizacja projektu przyczyni się do </w:t>
            </w:r>
            <w:r>
              <w:rPr>
                <w:sz w:val="16"/>
                <w:szCs w:val="16"/>
              </w:rPr>
              <w:t>rozwoju ponadlokalnego produktu turystycz</w:t>
            </w:r>
            <w:r w:rsidR="007A287A">
              <w:rPr>
                <w:sz w:val="16"/>
                <w:szCs w:val="16"/>
              </w:rPr>
              <w:t>nego bazującego na potencjale i </w:t>
            </w:r>
            <w:r>
              <w:rPr>
                <w:sz w:val="16"/>
                <w:szCs w:val="16"/>
              </w:rPr>
              <w:t xml:space="preserve">walorach kulturowych i przyrodniczych OF Olkusza. </w:t>
            </w:r>
          </w:p>
          <w:p w14:paraId="0F53E504" w14:textId="77777777" w:rsidR="00DC4EB7" w:rsidRDefault="00DC4EB7" w:rsidP="00DC4EB7">
            <w:pPr>
              <w:rPr>
                <w:sz w:val="16"/>
                <w:szCs w:val="16"/>
              </w:rPr>
            </w:pPr>
            <w:r>
              <w:rPr>
                <w:sz w:val="16"/>
                <w:szCs w:val="16"/>
              </w:rPr>
              <w:t>Projekt ma</w:t>
            </w:r>
            <w:r w:rsidRPr="009C3A69">
              <w:rPr>
                <w:sz w:val="16"/>
                <w:szCs w:val="16"/>
              </w:rPr>
              <w:t xml:space="preserve"> wpływ na stymulowanie aktywności turystycznej w regionie, wykraczający poza sam projekt</w:t>
            </w:r>
            <w:r>
              <w:rPr>
                <w:sz w:val="16"/>
                <w:szCs w:val="16"/>
              </w:rPr>
              <w:t>, ze względu na ponadlokalne oddziaływanie produktów turystycznych objętych projektem.</w:t>
            </w:r>
          </w:p>
          <w:p w14:paraId="208581AD" w14:textId="77777777" w:rsidR="00DC4EB7" w:rsidRDefault="00DC4EB7" w:rsidP="00DC4EB7">
            <w:pPr>
              <w:rPr>
                <w:sz w:val="16"/>
                <w:szCs w:val="16"/>
              </w:rPr>
            </w:pPr>
          </w:p>
          <w:p w14:paraId="3CCC9EAB" w14:textId="7348E331" w:rsidR="00DC4EB7" w:rsidRPr="00E05374" w:rsidRDefault="00DC4EB7" w:rsidP="00DC4EB7">
            <w:pPr>
              <w:rPr>
                <w:sz w:val="16"/>
                <w:szCs w:val="16"/>
              </w:rPr>
            </w:pPr>
            <w:r w:rsidRPr="00E05374">
              <w:rPr>
                <w:sz w:val="16"/>
                <w:szCs w:val="16"/>
              </w:rPr>
              <w:t>Obiekt</w:t>
            </w:r>
            <w:r w:rsidR="007A287A">
              <w:rPr>
                <w:sz w:val="16"/>
                <w:szCs w:val="16"/>
              </w:rPr>
              <w:t>y/ infrastruktura realizowane w </w:t>
            </w:r>
            <w:r w:rsidRPr="00E05374">
              <w:rPr>
                <w:sz w:val="16"/>
                <w:szCs w:val="16"/>
              </w:rPr>
              <w:t>ramach projektu będą ogólnodostępne.</w:t>
            </w:r>
          </w:p>
          <w:p w14:paraId="7FC68475" w14:textId="597D45B7" w:rsidR="00185AB6" w:rsidRPr="0039208B" w:rsidRDefault="00DC4EB7" w:rsidP="00DC4EB7">
            <w:pPr>
              <w:rPr>
                <w:sz w:val="16"/>
                <w:szCs w:val="16"/>
              </w:rPr>
            </w:pPr>
            <w:r w:rsidRPr="00E05374">
              <w:rPr>
                <w:sz w:val="16"/>
                <w:szCs w:val="16"/>
              </w:rPr>
              <w:t>Projekt nie przewiduje realizacji inwestycji w elem</w:t>
            </w:r>
            <w:r w:rsidR="007A287A">
              <w:rPr>
                <w:sz w:val="16"/>
                <w:szCs w:val="16"/>
              </w:rPr>
              <w:t>enty infrastruktury drogowej (w </w:t>
            </w:r>
            <w:r w:rsidRPr="00E05374">
              <w:rPr>
                <w:sz w:val="16"/>
                <w:szCs w:val="16"/>
              </w:rPr>
              <w:t>tym parki</w:t>
            </w:r>
            <w:r w:rsidR="007A287A">
              <w:rPr>
                <w:sz w:val="16"/>
                <w:szCs w:val="16"/>
              </w:rPr>
              <w:t>ngi), infrastrukturę sportową i </w:t>
            </w:r>
            <w:r w:rsidRPr="00E05374">
              <w:rPr>
                <w:sz w:val="16"/>
                <w:szCs w:val="16"/>
              </w:rPr>
              <w:t>rekreacyj</w:t>
            </w:r>
            <w:r w:rsidR="007A287A">
              <w:rPr>
                <w:sz w:val="16"/>
                <w:szCs w:val="16"/>
              </w:rPr>
              <w:t>ną, ani inwestycji związanych z </w:t>
            </w:r>
            <w:r w:rsidRPr="00E05374">
              <w:rPr>
                <w:sz w:val="16"/>
                <w:szCs w:val="16"/>
              </w:rPr>
              <w:t>budynkami służącymi funkcjom administracyjno-zarządczym.</w:t>
            </w:r>
          </w:p>
        </w:tc>
        <w:tc>
          <w:tcPr>
            <w:tcW w:w="1417" w:type="dxa"/>
          </w:tcPr>
          <w:p w14:paraId="7DD46F84" w14:textId="280EE9AB" w:rsidR="00185AB6" w:rsidRPr="0039208B" w:rsidRDefault="0001741E" w:rsidP="00A63813">
            <w:pPr>
              <w:pStyle w:val="Akapitzlist"/>
              <w:ind w:left="0"/>
              <w:rPr>
                <w:sz w:val="16"/>
                <w:szCs w:val="16"/>
              </w:rPr>
            </w:pPr>
            <w:r w:rsidRPr="00956BBA">
              <w:rPr>
                <w:sz w:val="16"/>
                <w:szCs w:val="16"/>
              </w:rPr>
              <w:t>FEM 2021-2027, CS 5i</w:t>
            </w:r>
            <w:r>
              <w:rPr>
                <w:sz w:val="16"/>
                <w:szCs w:val="16"/>
              </w:rPr>
              <w:t xml:space="preserve">, </w:t>
            </w:r>
            <w:r w:rsidRPr="009022B2">
              <w:rPr>
                <w:sz w:val="16"/>
                <w:szCs w:val="16"/>
              </w:rPr>
              <w:t>Działanie FEMP.07.01 IIT - Wsparcie oddolnych inicjatyw na obszarach miejskich</w:t>
            </w:r>
            <w:r>
              <w:rPr>
                <w:sz w:val="16"/>
                <w:szCs w:val="16"/>
              </w:rPr>
              <w:t>, Typ projektu C. Oferta turystyczna</w:t>
            </w:r>
          </w:p>
        </w:tc>
        <w:tc>
          <w:tcPr>
            <w:tcW w:w="1134" w:type="dxa"/>
          </w:tcPr>
          <w:p w14:paraId="59C71443" w14:textId="4FC5669C" w:rsidR="00185AB6" w:rsidRPr="0039208B" w:rsidRDefault="00DD7070" w:rsidP="00A63813">
            <w:pPr>
              <w:pStyle w:val="Akapitzlist"/>
              <w:ind w:left="0"/>
              <w:rPr>
                <w:sz w:val="16"/>
                <w:szCs w:val="16"/>
              </w:rPr>
            </w:pPr>
            <w:r>
              <w:rPr>
                <w:sz w:val="16"/>
                <w:szCs w:val="16"/>
              </w:rPr>
              <w:t>789 504,24</w:t>
            </w:r>
          </w:p>
        </w:tc>
        <w:tc>
          <w:tcPr>
            <w:tcW w:w="968" w:type="dxa"/>
          </w:tcPr>
          <w:p w14:paraId="45612B2D" w14:textId="365F52E3" w:rsidR="00185AB6" w:rsidRPr="0039208B" w:rsidRDefault="00A471E6" w:rsidP="00A63813">
            <w:pPr>
              <w:pStyle w:val="Akapitzlist"/>
              <w:ind w:left="0"/>
              <w:rPr>
                <w:sz w:val="16"/>
                <w:szCs w:val="16"/>
              </w:rPr>
            </w:pPr>
            <w:r>
              <w:rPr>
                <w:sz w:val="16"/>
                <w:szCs w:val="16"/>
              </w:rPr>
              <w:t>2025-2026</w:t>
            </w:r>
          </w:p>
        </w:tc>
        <w:tc>
          <w:tcPr>
            <w:tcW w:w="2977" w:type="dxa"/>
          </w:tcPr>
          <w:p w14:paraId="37877B4E" w14:textId="3CF16BD0" w:rsidR="00B461EF" w:rsidRDefault="00B461EF" w:rsidP="00B461EF">
            <w:pPr>
              <w:pStyle w:val="Akapitzlist"/>
              <w:ind w:left="0"/>
              <w:rPr>
                <w:sz w:val="16"/>
                <w:szCs w:val="16"/>
              </w:rPr>
            </w:pPr>
            <w:r>
              <w:rPr>
                <w:sz w:val="16"/>
                <w:szCs w:val="16"/>
              </w:rPr>
              <w:t>Projekt jest powiązany z projektem nr 1 ze względu na fakt, iż oba skupione są na podnoszenie atrakcyjności turystycznej OF Olkusza poprzez rozwijanie ponadlokalnych atrakcji.</w:t>
            </w:r>
          </w:p>
          <w:p w14:paraId="6392228B" w14:textId="77777777" w:rsidR="00B461EF" w:rsidRDefault="00B461EF" w:rsidP="00B461EF">
            <w:pPr>
              <w:pStyle w:val="Akapitzlist"/>
              <w:ind w:left="0"/>
              <w:rPr>
                <w:sz w:val="16"/>
                <w:szCs w:val="16"/>
              </w:rPr>
            </w:pPr>
          </w:p>
          <w:p w14:paraId="78442C13" w14:textId="77777777" w:rsidR="00B461EF" w:rsidRDefault="00B461EF" w:rsidP="00B461EF">
            <w:pPr>
              <w:pStyle w:val="Akapitzlist"/>
              <w:ind w:left="0"/>
              <w:rPr>
                <w:sz w:val="16"/>
                <w:szCs w:val="16"/>
              </w:rPr>
            </w:pPr>
            <w:r>
              <w:rPr>
                <w:sz w:val="16"/>
                <w:szCs w:val="16"/>
              </w:rPr>
              <w:t xml:space="preserve">Projekt jest również związany z projektem nr 3, który przestrzennie i funkcjonalnie  integruje ofertę turystyczną OF Olkusza bazującą na walorach </w:t>
            </w:r>
            <w:r w:rsidRPr="00010890">
              <w:rPr>
                <w:sz w:val="16"/>
                <w:szCs w:val="16"/>
              </w:rPr>
              <w:t>przyrodniczo-krajobrazowych (Pustynia Błędowska, walory Jury Krakowsko-Częstochowskiej) oraz historyczno-kulturowych (</w:t>
            </w:r>
            <w:r>
              <w:rPr>
                <w:sz w:val="16"/>
                <w:szCs w:val="16"/>
              </w:rPr>
              <w:t xml:space="preserve">średniowieczne zabytki, </w:t>
            </w:r>
            <w:r w:rsidRPr="00010890">
              <w:rPr>
                <w:sz w:val="16"/>
                <w:szCs w:val="16"/>
              </w:rPr>
              <w:t>dziedzictwo przemysłowe, historia górnictwa na Ziemi Olkuskiej).</w:t>
            </w:r>
          </w:p>
          <w:p w14:paraId="6A5BBF39" w14:textId="77777777" w:rsidR="00B461EF" w:rsidRDefault="00B461EF" w:rsidP="00B461EF">
            <w:pPr>
              <w:pStyle w:val="Akapitzlist"/>
              <w:ind w:left="0"/>
              <w:rPr>
                <w:sz w:val="16"/>
                <w:szCs w:val="16"/>
              </w:rPr>
            </w:pPr>
          </w:p>
          <w:p w14:paraId="3BC23936" w14:textId="5CC3E451" w:rsidR="00185AB6" w:rsidRPr="0039208B" w:rsidRDefault="00B461EF" w:rsidP="00B461EF">
            <w:pPr>
              <w:pStyle w:val="Akapitzlist"/>
              <w:ind w:left="0"/>
              <w:rPr>
                <w:sz w:val="16"/>
                <w:szCs w:val="16"/>
              </w:rPr>
            </w:pPr>
            <w:r w:rsidRPr="00010890">
              <w:rPr>
                <w:sz w:val="16"/>
                <w:szCs w:val="16"/>
              </w:rPr>
              <w:t xml:space="preserve">Projekt jest </w:t>
            </w:r>
            <w:r>
              <w:rPr>
                <w:sz w:val="16"/>
                <w:szCs w:val="16"/>
              </w:rPr>
              <w:t xml:space="preserve">także </w:t>
            </w:r>
            <w:r w:rsidRPr="00010890">
              <w:rPr>
                <w:sz w:val="16"/>
                <w:szCs w:val="16"/>
              </w:rPr>
              <w:t xml:space="preserve">powiązany z projektami stanowiącymi element przedsięwzięcia związanego z </w:t>
            </w:r>
            <w:r>
              <w:rPr>
                <w:sz w:val="16"/>
                <w:szCs w:val="16"/>
              </w:rPr>
              <w:t>rozwojem oferty kulturalnej OF Olkusza. Bazują one wszystkie bowiem na bogatym dziedzictwie historyczno-kulturowym obszaru, a ich realizacja przełoży się na poprawę sytuacji społeczno-gospodarczej OF.</w:t>
            </w:r>
          </w:p>
        </w:tc>
      </w:tr>
      <w:tr w:rsidR="00A74723" w14:paraId="637A0A4E" w14:textId="77777777" w:rsidTr="00023F75">
        <w:trPr>
          <w:trHeight w:val="20"/>
        </w:trPr>
        <w:tc>
          <w:tcPr>
            <w:tcW w:w="1134" w:type="dxa"/>
            <w:shd w:val="clear" w:color="auto" w:fill="D9D9D9" w:themeFill="background1" w:themeFillShade="D9"/>
          </w:tcPr>
          <w:p w14:paraId="624D7C9C" w14:textId="218ABE82" w:rsidR="00A74723" w:rsidRPr="00B70355" w:rsidRDefault="00A74723" w:rsidP="00A63813">
            <w:pPr>
              <w:pStyle w:val="Akapitzlist"/>
              <w:ind w:left="0"/>
              <w:rPr>
                <w:sz w:val="16"/>
              </w:rPr>
            </w:pPr>
            <w:r w:rsidRPr="00E05374">
              <w:rPr>
                <w:sz w:val="16"/>
              </w:rPr>
              <w:t>ROZWÓJ SIECIOWEJ INFRASTRUKTURY TURYSTYCZNEJ OF OLKUSZA</w:t>
            </w:r>
          </w:p>
        </w:tc>
        <w:tc>
          <w:tcPr>
            <w:tcW w:w="4136" w:type="dxa"/>
            <w:shd w:val="clear" w:color="auto" w:fill="D9D9D9" w:themeFill="background1" w:themeFillShade="D9"/>
          </w:tcPr>
          <w:p w14:paraId="318E65FA" w14:textId="77777777" w:rsidR="00A74723" w:rsidRDefault="00A74723" w:rsidP="00452F6C">
            <w:pPr>
              <w:pStyle w:val="Akapitzlist"/>
              <w:ind w:left="0"/>
              <w:rPr>
                <w:sz w:val="16"/>
              </w:rPr>
            </w:pPr>
            <w:r w:rsidRPr="001F75B0">
              <w:rPr>
                <w:sz w:val="16"/>
              </w:rPr>
              <w:t>Przedsięwzięcie jest zgodne z założeniami 1 Celu IIT</w:t>
            </w:r>
            <w:r>
              <w:rPr>
                <w:sz w:val="16"/>
              </w:rPr>
              <w:t xml:space="preserve"> </w:t>
            </w:r>
            <w:r w:rsidRPr="001F75B0">
              <w:rPr>
                <w:sz w:val="16"/>
              </w:rPr>
              <w:t>Rozwój funkcji turystycznych obszaru funkcjonalnego Olkusza</w:t>
            </w:r>
            <w:r>
              <w:rPr>
                <w:sz w:val="16"/>
              </w:rPr>
              <w:t xml:space="preserve">. </w:t>
            </w:r>
          </w:p>
          <w:p w14:paraId="3EEB0269" w14:textId="77777777" w:rsidR="00A74723" w:rsidRDefault="00A74723" w:rsidP="00A63813">
            <w:pPr>
              <w:pStyle w:val="Akapitzlist"/>
              <w:ind w:left="0"/>
              <w:rPr>
                <w:sz w:val="16"/>
              </w:rPr>
            </w:pPr>
          </w:p>
          <w:p w14:paraId="58C840C6" w14:textId="77777777" w:rsidR="00A74723" w:rsidRDefault="00A74723" w:rsidP="00A63813">
            <w:pPr>
              <w:pStyle w:val="Akapitzlist"/>
              <w:ind w:left="0"/>
              <w:rPr>
                <w:sz w:val="16"/>
              </w:rPr>
            </w:pPr>
            <w:r w:rsidRPr="001F75B0">
              <w:rPr>
                <w:sz w:val="16"/>
              </w:rPr>
              <w:t xml:space="preserve">Zakres przedsięwzięcia został wskazany w odniesieniu do zdiagnozowanych potrzeb i wyzwań rozwojowych w </w:t>
            </w:r>
            <w:r>
              <w:rPr>
                <w:sz w:val="16"/>
              </w:rPr>
              <w:t>zakresie funkcji turystycznych OF Olkusza. Z diagnozy strategicznej przeprowadzonej na potrzeby strategii wynika, że obszar funkcjonalny posiada wysoki potencjał w postaci walorów historyczno-kulturowych i przyrodniczo-krajobrazowych, które sprzyjają rozwojowi funkcji turystycznych partnerskich gmin. Potencjał ten jest obecnie niedostatecznie wykorzystany m.in. ze względu braki w infrastrukturze oraz niski poziom zintegrowania oferty turystycznej OF.</w:t>
            </w:r>
          </w:p>
          <w:p w14:paraId="1569C27A" w14:textId="77777777" w:rsidR="00A74723" w:rsidRDefault="00A74723" w:rsidP="00A63813">
            <w:pPr>
              <w:pStyle w:val="Akapitzlist"/>
              <w:ind w:left="0"/>
              <w:rPr>
                <w:sz w:val="16"/>
              </w:rPr>
            </w:pPr>
          </w:p>
          <w:p w14:paraId="51B24503" w14:textId="41568FA9" w:rsidR="00A74723" w:rsidRPr="00B70355" w:rsidRDefault="00A74723" w:rsidP="00452F6C">
            <w:pPr>
              <w:rPr>
                <w:sz w:val="16"/>
              </w:rPr>
            </w:pPr>
            <w:r w:rsidRPr="00452F6C">
              <w:rPr>
                <w:sz w:val="16"/>
              </w:rPr>
              <w:t xml:space="preserve">Przedsięwzięcie ma zintegrowany charakter. </w:t>
            </w:r>
            <w:r>
              <w:rPr>
                <w:sz w:val="16"/>
              </w:rPr>
              <w:t>Jego realizacja umożliwi uspójnienie sieci szlaków i tras rowerowy</w:t>
            </w:r>
            <w:r w:rsidR="007A287A">
              <w:rPr>
                <w:sz w:val="16"/>
              </w:rPr>
              <w:t>ch w </w:t>
            </w:r>
            <w:r>
              <w:rPr>
                <w:sz w:val="16"/>
              </w:rPr>
              <w:t xml:space="preserve">obrębie OF oraz podniesienie poziomu ich atrakcyjności. Projekt stanowi element integrujący OF nie tylko </w:t>
            </w:r>
            <w:r w:rsidRPr="00452F6C">
              <w:rPr>
                <w:sz w:val="16"/>
              </w:rPr>
              <w:t>przestrzennie (ciągłość tras rowerowych</w:t>
            </w:r>
            <w:r>
              <w:rPr>
                <w:sz w:val="16"/>
              </w:rPr>
              <w:t>, połączenie partnerskich gmin i atrakcji zlokalizowanych na ich terenie</w:t>
            </w:r>
            <w:r w:rsidRPr="00452F6C">
              <w:rPr>
                <w:sz w:val="16"/>
              </w:rPr>
              <w:t>), ale również tematycznie – w założeniu bazuje on bowiem na</w:t>
            </w:r>
            <w:r>
              <w:rPr>
                <w:sz w:val="16"/>
              </w:rPr>
              <w:t xml:space="preserve"> wspólnych dla wszystkich gmin dziedzictwie górniczym. </w:t>
            </w:r>
            <w:r w:rsidRPr="00452F6C">
              <w:rPr>
                <w:sz w:val="16"/>
              </w:rPr>
              <w:t>Dzięki odpowiedniemu poprowadzeniu tras rowerowych możliwe będzie udostępnienie turystom walorów historyczno-kulturowych i przyrodniczych partnerskich gmin, a rozwój infrastruktury towarzyszącej przełoży się na wzmocnienie funkcji turystycznych Obszaru, a tym samym dywersyfikację gospodarki i rynku pracy.</w:t>
            </w:r>
          </w:p>
        </w:tc>
        <w:tc>
          <w:tcPr>
            <w:tcW w:w="1960" w:type="dxa"/>
            <w:shd w:val="clear" w:color="auto" w:fill="D9D9D9" w:themeFill="background1" w:themeFillShade="D9"/>
          </w:tcPr>
          <w:p w14:paraId="61089BC3" w14:textId="77777777" w:rsidR="00A74723" w:rsidRPr="00EF0A6B" w:rsidRDefault="00A74723" w:rsidP="00C94D13">
            <w:pPr>
              <w:pStyle w:val="Akapitzlist"/>
              <w:ind w:left="0"/>
              <w:rPr>
                <w:b/>
                <w:sz w:val="16"/>
              </w:rPr>
            </w:pPr>
            <w:r w:rsidRPr="00EF0A6B">
              <w:rPr>
                <w:b/>
                <w:sz w:val="16"/>
              </w:rPr>
              <w:t xml:space="preserve">Wskaźniki </w:t>
            </w:r>
            <w:r>
              <w:rPr>
                <w:b/>
                <w:sz w:val="16"/>
              </w:rPr>
              <w:t>produktu</w:t>
            </w:r>
            <w:r w:rsidRPr="00EF0A6B">
              <w:rPr>
                <w:b/>
                <w:sz w:val="16"/>
              </w:rPr>
              <w:t>:</w:t>
            </w:r>
          </w:p>
          <w:p w14:paraId="224C6AE6" w14:textId="77777777" w:rsidR="00A74723" w:rsidRDefault="00A74723" w:rsidP="00C94D13">
            <w:pPr>
              <w:pStyle w:val="Akapitzlist"/>
              <w:ind w:left="0"/>
              <w:rPr>
                <w:b/>
                <w:sz w:val="16"/>
              </w:rPr>
            </w:pPr>
          </w:p>
          <w:p w14:paraId="4C5D6997" w14:textId="77777777" w:rsidR="00A74723" w:rsidRDefault="00A74723" w:rsidP="00061830">
            <w:pPr>
              <w:pStyle w:val="Akapitzlist"/>
              <w:ind w:left="0"/>
              <w:rPr>
                <w:sz w:val="16"/>
              </w:rPr>
            </w:pPr>
            <w:r w:rsidRPr="00EF0A6B">
              <w:rPr>
                <w:sz w:val="16"/>
              </w:rPr>
              <w:t xml:space="preserve">RCO74 - Ludność objęta projektami w ramach strategii zintegrowanego rozwoju </w:t>
            </w:r>
            <w:r w:rsidRPr="009B4448">
              <w:rPr>
                <w:sz w:val="16"/>
              </w:rPr>
              <w:t>terytorialnego:</w:t>
            </w:r>
            <w:r>
              <w:t xml:space="preserve"> </w:t>
            </w:r>
            <w:r w:rsidRPr="00061830">
              <w:rPr>
                <w:sz w:val="16"/>
              </w:rPr>
              <w:t>65</w:t>
            </w:r>
            <w:r>
              <w:rPr>
                <w:sz w:val="16"/>
              </w:rPr>
              <w:t> </w:t>
            </w:r>
            <w:r w:rsidRPr="00061830">
              <w:rPr>
                <w:sz w:val="16"/>
              </w:rPr>
              <w:t>155</w:t>
            </w:r>
            <w:r>
              <w:rPr>
                <w:sz w:val="16"/>
              </w:rPr>
              <w:t xml:space="preserve"> </w:t>
            </w:r>
            <w:r w:rsidRPr="00E415E4">
              <w:rPr>
                <w:sz w:val="16"/>
              </w:rPr>
              <w:t>osób</w:t>
            </w:r>
          </w:p>
          <w:p w14:paraId="6A91950A" w14:textId="77777777" w:rsidR="00A74723" w:rsidRDefault="00A74723" w:rsidP="00C94D13">
            <w:pPr>
              <w:pStyle w:val="Akapitzlist"/>
              <w:ind w:left="0"/>
              <w:rPr>
                <w:sz w:val="16"/>
              </w:rPr>
            </w:pPr>
          </w:p>
          <w:p w14:paraId="6E0F9CF0" w14:textId="77777777" w:rsidR="00A74723" w:rsidRDefault="00A74723" w:rsidP="00C94D13">
            <w:pPr>
              <w:pStyle w:val="Akapitzlist"/>
              <w:ind w:left="0"/>
              <w:rPr>
                <w:sz w:val="16"/>
              </w:rPr>
            </w:pPr>
            <w:r w:rsidRPr="00EF0A6B">
              <w:rPr>
                <w:sz w:val="16"/>
              </w:rPr>
              <w:t>RCO75 - Wspierane strategie zintegrowanego rozwoju terytorialnego</w:t>
            </w:r>
            <w:r>
              <w:rPr>
                <w:sz w:val="16"/>
              </w:rPr>
              <w:t>: 2</w:t>
            </w:r>
          </w:p>
          <w:p w14:paraId="68048A23" w14:textId="77777777" w:rsidR="00A74723" w:rsidRDefault="00A74723" w:rsidP="00C94D13">
            <w:pPr>
              <w:pStyle w:val="Akapitzlist"/>
              <w:ind w:left="0"/>
              <w:rPr>
                <w:sz w:val="16"/>
              </w:rPr>
            </w:pPr>
          </w:p>
          <w:p w14:paraId="5E6DCC00" w14:textId="461DC6D0" w:rsidR="00A74723" w:rsidRPr="009B1FFE" w:rsidRDefault="00A74723" w:rsidP="00C94D13">
            <w:pPr>
              <w:pStyle w:val="Akapitzlist"/>
              <w:ind w:left="0"/>
              <w:rPr>
                <w:sz w:val="16"/>
              </w:rPr>
            </w:pPr>
            <w:r w:rsidRPr="009B1FFE">
              <w:rPr>
                <w:sz w:val="16"/>
              </w:rPr>
              <w:t xml:space="preserve">PLRO135 </w:t>
            </w:r>
            <w:r w:rsidRPr="009B1FFE">
              <w:rPr>
                <w:b/>
                <w:sz w:val="16"/>
              </w:rPr>
              <w:t xml:space="preserve">- </w:t>
            </w:r>
            <w:r w:rsidRPr="009B1FFE">
              <w:rPr>
                <w:sz w:val="16"/>
              </w:rPr>
              <w:t xml:space="preserve">Długość wspartych szlaków </w:t>
            </w:r>
            <w:r w:rsidRPr="001D4D4A">
              <w:rPr>
                <w:sz w:val="16"/>
              </w:rPr>
              <w:t xml:space="preserve">turystycznych: </w:t>
            </w:r>
            <w:r w:rsidR="001D4D4A" w:rsidRPr="001D4D4A">
              <w:rPr>
                <w:sz w:val="16"/>
              </w:rPr>
              <w:t>30</w:t>
            </w:r>
            <w:r w:rsidRPr="001D4D4A">
              <w:rPr>
                <w:sz w:val="16"/>
              </w:rPr>
              <w:t xml:space="preserve">  km</w:t>
            </w:r>
          </w:p>
          <w:p w14:paraId="35380C65" w14:textId="77777777" w:rsidR="00A74723" w:rsidRDefault="00A74723" w:rsidP="00C94D13">
            <w:pPr>
              <w:pStyle w:val="Akapitzlist"/>
              <w:ind w:left="0"/>
              <w:rPr>
                <w:b/>
                <w:sz w:val="16"/>
              </w:rPr>
            </w:pPr>
          </w:p>
          <w:p w14:paraId="424043DA" w14:textId="77777777" w:rsidR="00A74723" w:rsidRDefault="00A74723" w:rsidP="00C94D13">
            <w:pPr>
              <w:pStyle w:val="Akapitzlist"/>
              <w:ind w:left="0"/>
              <w:rPr>
                <w:b/>
                <w:sz w:val="16"/>
              </w:rPr>
            </w:pPr>
          </w:p>
          <w:p w14:paraId="3677CEC6" w14:textId="77777777" w:rsidR="00A74723" w:rsidRPr="00EF0A6B" w:rsidRDefault="00A74723" w:rsidP="00C94D13">
            <w:pPr>
              <w:pStyle w:val="Akapitzlist"/>
              <w:ind w:left="0"/>
              <w:rPr>
                <w:b/>
                <w:sz w:val="16"/>
              </w:rPr>
            </w:pPr>
            <w:r w:rsidRPr="00EF0A6B">
              <w:rPr>
                <w:b/>
                <w:sz w:val="16"/>
              </w:rPr>
              <w:t>Wskaźniki rezultatu:</w:t>
            </w:r>
          </w:p>
          <w:p w14:paraId="2D444DD5" w14:textId="77777777" w:rsidR="00A74723" w:rsidRDefault="00A74723" w:rsidP="00C94D13">
            <w:pPr>
              <w:pStyle w:val="Akapitzlist"/>
              <w:ind w:left="0"/>
              <w:rPr>
                <w:b/>
                <w:sz w:val="16"/>
              </w:rPr>
            </w:pPr>
          </w:p>
          <w:p w14:paraId="306ABE4B" w14:textId="0C83D373" w:rsidR="00A74723" w:rsidRPr="00EF0A6B" w:rsidRDefault="00A74723" w:rsidP="00C94D13">
            <w:pPr>
              <w:rPr>
                <w:sz w:val="16"/>
              </w:rPr>
            </w:pPr>
            <w:r w:rsidRPr="00EF0A6B">
              <w:rPr>
                <w:sz w:val="16"/>
              </w:rPr>
              <w:t>WLWK-PLRR062 - Roczna liczba turystów korzystających ze szlaków rowerowyc</w:t>
            </w:r>
            <w:r w:rsidRPr="009D23A2">
              <w:rPr>
                <w:sz w:val="16"/>
              </w:rPr>
              <w:t>h</w:t>
            </w:r>
            <w:r w:rsidRPr="009A71F6">
              <w:rPr>
                <w:sz w:val="16"/>
              </w:rPr>
              <w:t xml:space="preserve">: </w:t>
            </w:r>
            <w:r w:rsidR="009A71F6" w:rsidRPr="009A71F6">
              <w:rPr>
                <w:sz w:val="16"/>
              </w:rPr>
              <w:t>10 000</w:t>
            </w:r>
            <w:r w:rsidR="009A71F6">
              <w:rPr>
                <w:sz w:val="16"/>
              </w:rPr>
              <w:t xml:space="preserve"> osób</w:t>
            </w:r>
            <w:r w:rsidRPr="009A71F6">
              <w:rPr>
                <w:sz w:val="16"/>
              </w:rPr>
              <w:t>/rok</w:t>
            </w:r>
          </w:p>
          <w:p w14:paraId="3F0E63D9" w14:textId="77777777" w:rsidR="00A74723" w:rsidRPr="00EF0A6B" w:rsidRDefault="00A74723" w:rsidP="00A63813">
            <w:pPr>
              <w:pStyle w:val="Akapitzlist"/>
              <w:ind w:left="0"/>
              <w:rPr>
                <w:sz w:val="16"/>
              </w:rPr>
            </w:pPr>
          </w:p>
        </w:tc>
        <w:tc>
          <w:tcPr>
            <w:tcW w:w="425" w:type="dxa"/>
          </w:tcPr>
          <w:p w14:paraId="26195AEB" w14:textId="3BE24181" w:rsidR="00A74723" w:rsidRPr="0039208B" w:rsidRDefault="00A74723" w:rsidP="00A63813">
            <w:pPr>
              <w:pStyle w:val="Akapitzlist"/>
              <w:ind w:left="0"/>
              <w:rPr>
                <w:sz w:val="16"/>
                <w:szCs w:val="16"/>
              </w:rPr>
            </w:pPr>
            <w:r>
              <w:rPr>
                <w:sz w:val="16"/>
                <w:szCs w:val="16"/>
              </w:rPr>
              <w:t>3</w:t>
            </w:r>
          </w:p>
        </w:tc>
        <w:tc>
          <w:tcPr>
            <w:tcW w:w="1867" w:type="dxa"/>
          </w:tcPr>
          <w:p w14:paraId="35C1B01B" w14:textId="1293E41F" w:rsidR="00A74723" w:rsidRPr="0097298C" w:rsidRDefault="00A74723" w:rsidP="00A63813">
            <w:pPr>
              <w:pStyle w:val="Akapitzlist"/>
              <w:ind w:left="0"/>
              <w:rPr>
                <w:i/>
                <w:sz w:val="16"/>
                <w:szCs w:val="16"/>
              </w:rPr>
            </w:pPr>
            <w:r w:rsidRPr="00E05374">
              <w:rPr>
                <w:i/>
                <w:sz w:val="16"/>
                <w:szCs w:val="16"/>
              </w:rPr>
              <w:t>Szlak turystyczny „</w:t>
            </w:r>
            <w:r w:rsidRPr="00E3785C">
              <w:rPr>
                <w:i/>
                <w:sz w:val="16"/>
                <w:szCs w:val="16"/>
              </w:rPr>
              <w:t>Śladami dawnego górnictwa Ziemi Olkusko-Bolesławskiej</w:t>
            </w:r>
            <w:r>
              <w:rPr>
                <w:i/>
                <w:sz w:val="16"/>
                <w:szCs w:val="16"/>
              </w:rPr>
              <w:t>”</w:t>
            </w:r>
          </w:p>
        </w:tc>
        <w:tc>
          <w:tcPr>
            <w:tcW w:w="992" w:type="dxa"/>
          </w:tcPr>
          <w:p w14:paraId="46432183" w14:textId="27E602D2" w:rsidR="00A74723" w:rsidRDefault="00A74723" w:rsidP="00A63813">
            <w:pPr>
              <w:pStyle w:val="Akapitzlist"/>
              <w:ind w:left="0"/>
              <w:rPr>
                <w:sz w:val="16"/>
              </w:rPr>
            </w:pPr>
            <w:r w:rsidRPr="009A71F6">
              <w:rPr>
                <w:sz w:val="16"/>
              </w:rPr>
              <w:t xml:space="preserve">Gmina </w:t>
            </w:r>
            <w:r w:rsidR="00DD7070">
              <w:rPr>
                <w:sz w:val="16"/>
              </w:rPr>
              <w:t>Klucze</w:t>
            </w:r>
          </w:p>
          <w:p w14:paraId="628DC144" w14:textId="4A2EBE7B" w:rsidR="00A74723" w:rsidRPr="0097298C" w:rsidRDefault="00A74723" w:rsidP="00A63813">
            <w:pPr>
              <w:pStyle w:val="Akapitzlist"/>
              <w:ind w:left="0"/>
              <w:rPr>
                <w:sz w:val="16"/>
              </w:rPr>
            </w:pPr>
          </w:p>
        </w:tc>
        <w:tc>
          <w:tcPr>
            <w:tcW w:w="2953" w:type="dxa"/>
          </w:tcPr>
          <w:p w14:paraId="195A1183" w14:textId="36E61AA2" w:rsidR="00A74723" w:rsidRDefault="00A74723" w:rsidP="00E05374">
            <w:pPr>
              <w:rPr>
                <w:sz w:val="16"/>
                <w:szCs w:val="16"/>
              </w:rPr>
            </w:pPr>
            <w:r w:rsidRPr="00E05374">
              <w:rPr>
                <w:sz w:val="16"/>
                <w:szCs w:val="16"/>
              </w:rPr>
              <w:t>W ramach zadania zaplanowano oznakowanie istniejących i wytyczenie nowych odcinków tras</w:t>
            </w:r>
            <w:r>
              <w:rPr>
                <w:sz w:val="16"/>
                <w:szCs w:val="16"/>
              </w:rPr>
              <w:t xml:space="preserve"> pieszych, rowerowych i pieszo-</w:t>
            </w:r>
            <w:r w:rsidRPr="00E05374">
              <w:rPr>
                <w:sz w:val="16"/>
                <w:szCs w:val="16"/>
              </w:rPr>
              <w:t>rowerowych, łączących atrakcje turystyczne partnerskich gmi</w:t>
            </w:r>
            <w:r>
              <w:rPr>
                <w:sz w:val="16"/>
                <w:szCs w:val="16"/>
              </w:rPr>
              <w:t xml:space="preserve">n. </w:t>
            </w:r>
            <w:r w:rsidRPr="00E05374">
              <w:rPr>
                <w:sz w:val="16"/>
                <w:szCs w:val="16"/>
              </w:rPr>
              <w:t>W ramach projektu zaplanowano również budowę infra</w:t>
            </w:r>
            <w:r w:rsidR="007A287A">
              <w:rPr>
                <w:sz w:val="16"/>
                <w:szCs w:val="16"/>
              </w:rPr>
              <w:t>struktury towarzyszącej m.in. w </w:t>
            </w:r>
            <w:r w:rsidRPr="00E05374">
              <w:rPr>
                <w:sz w:val="16"/>
                <w:szCs w:val="16"/>
              </w:rPr>
              <w:t>postaci miejsc postoju (stojaki rowerowe, ławki itp.), a także promocję szlaku.</w:t>
            </w:r>
          </w:p>
          <w:p w14:paraId="42267A5A" w14:textId="77777777" w:rsidR="00A74723" w:rsidRDefault="00A74723" w:rsidP="00E05374">
            <w:pPr>
              <w:rPr>
                <w:sz w:val="16"/>
                <w:szCs w:val="16"/>
              </w:rPr>
            </w:pPr>
          </w:p>
          <w:p w14:paraId="733C3626" w14:textId="626DE640" w:rsidR="00A74723" w:rsidRPr="0039208B" w:rsidRDefault="00A74723" w:rsidP="00DD7070">
            <w:pPr>
              <w:rPr>
                <w:sz w:val="16"/>
                <w:szCs w:val="16"/>
              </w:rPr>
            </w:pPr>
            <w:r w:rsidRPr="009A71F6">
              <w:rPr>
                <w:sz w:val="16"/>
                <w:szCs w:val="16"/>
              </w:rPr>
              <w:t xml:space="preserve">Projekt będzie realizowany w formule partnerskiej. Lider: Gmina </w:t>
            </w:r>
            <w:r w:rsidR="00DD7070">
              <w:rPr>
                <w:sz w:val="16"/>
                <w:szCs w:val="16"/>
              </w:rPr>
              <w:t>Klucze</w:t>
            </w:r>
            <w:r w:rsidRPr="009A71F6">
              <w:rPr>
                <w:sz w:val="16"/>
                <w:szCs w:val="16"/>
              </w:rPr>
              <w:t xml:space="preserve">, Partnerzy: Gmina Olkusz, Gmina </w:t>
            </w:r>
            <w:r w:rsidR="00DD7070">
              <w:rPr>
                <w:sz w:val="16"/>
                <w:szCs w:val="16"/>
              </w:rPr>
              <w:t>Bolesław</w:t>
            </w:r>
            <w:r w:rsidRPr="009A71F6">
              <w:rPr>
                <w:sz w:val="16"/>
                <w:szCs w:val="16"/>
              </w:rPr>
              <w:t>, Partner wyłoniony przed złożeniem wniosku o dofinansowanie w otwartym naborze partnerów do realizacji wspólnych projektów zgodnie z art. 39 ustawy z dnia 28 kwietnia 2022 r. o zasadach realizacji zadań finansowanych ze środków europejskich w perspektywie finansowej 2021–2027</w:t>
            </w:r>
          </w:p>
        </w:tc>
        <w:tc>
          <w:tcPr>
            <w:tcW w:w="3001" w:type="dxa"/>
          </w:tcPr>
          <w:p w14:paraId="606BAF25" w14:textId="59D4F715" w:rsidR="00A74723" w:rsidRDefault="00A74723" w:rsidP="00E05374">
            <w:pPr>
              <w:rPr>
                <w:sz w:val="16"/>
                <w:szCs w:val="16"/>
              </w:rPr>
            </w:pPr>
            <w:r w:rsidRPr="00E05374">
              <w:rPr>
                <w:sz w:val="16"/>
                <w:szCs w:val="16"/>
              </w:rPr>
              <w:t xml:space="preserve">Projekt realizuje typ projektu D. Trasy turystyczne w ramach FEM,  będzie realizowany </w:t>
            </w:r>
            <w:r>
              <w:rPr>
                <w:sz w:val="16"/>
                <w:szCs w:val="16"/>
              </w:rPr>
              <w:t>we wszystkich gminach OF Olkusza:</w:t>
            </w:r>
            <w:r w:rsidR="007A287A">
              <w:rPr>
                <w:sz w:val="16"/>
                <w:szCs w:val="16"/>
              </w:rPr>
              <w:t xml:space="preserve"> Gminie Olkusz, Gminie Klucze i </w:t>
            </w:r>
            <w:r>
              <w:rPr>
                <w:sz w:val="16"/>
                <w:szCs w:val="16"/>
              </w:rPr>
              <w:t>Gminie Bolesław.</w:t>
            </w:r>
          </w:p>
          <w:p w14:paraId="51D6575A" w14:textId="21119674" w:rsidR="00A74723" w:rsidRPr="00E05374" w:rsidRDefault="00A74723" w:rsidP="00E05374">
            <w:pPr>
              <w:rPr>
                <w:sz w:val="16"/>
                <w:szCs w:val="16"/>
              </w:rPr>
            </w:pPr>
            <w:r w:rsidRPr="00E05374">
              <w:rPr>
                <w:sz w:val="16"/>
                <w:szCs w:val="16"/>
              </w:rPr>
              <w:t>Realizacja projektu przyczyni się do rozwo</w:t>
            </w:r>
            <w:r w:rsidR="007A287A">
              <w:rPr>
                <w:sz w:val="16"/>
                <w:szCs w:val="16"/>
              </w:rPr>
              <w:t>ju szlaków turystycznych i </w:t>
            </w:r>
            <w:r w:rsidRPr="00E05374">
              <w:rPr>
                <w:sz w:val="16"/>
                <w:szCs w:val="16"/>
              </w:rPr>
              <w:t xml:space="preserve">uzupełnieniu ich infrastruktury, służących właściwemu ukierunkowaniu ruchu turystycznego, przyczyniających się do zwiększenia atrakcyjności </w:t>
            </w:r>
            <w:r>
              <w:rPr>
                <w:sz w:val="16"/>
                <w:szCs w:val="16"/>
              </w:rPr>
              <w:t xml:space="preserve">OF Olkusza </w:t>
            </w:r>
            <w:r w:rsidR="007A287A">
              <w:rPr>
                <w:sz w:val="16"/>
                <w:szCs w:val="16"/>
              </w:rPr>
              <w:t>i </w:t>
            </w:r>
            <w:r w:rsidRPr="00E05374">
              <w:rPr>
                <w:sz w:val="16"/>
                <w:szCs w:val="16"/>
              </w:rPr>
              <w:t>całego regionu.</w:t>
            </w:r>
          </w:p>
          <w:p w14:paraId="26E1F8E1" w14:textId="77777777" w:rsidR="00A74723" w:rsidRPr="00E05374" w:rsidRDefault="00A74723" w:rsidP="00E05374">
            <w:pPr>
              <w:rPr>
                <w:sz w:val="16"/>
                <w:szCs w:val="16"/>
              </w:rPr>
            </w:pPr>
          </w:p>
          <w:p w14:paraId="461599C4" w14:textId="2AABCBDE" w:rsidR="00A74723" w:rsidRPr="00E05374" w:rsidRDefault="00A74723" w:rsidP="00E05374">
            <w:pPr>
              <w:rPr>
                <w:sz w:val="16"/>
                <w:szCs w:val="16"/>
              </w:rPr>
            </w:pPr>
            <w:r w:rsidRPr="00E05374">
              <w:rPr>
                <w:sz w:val="16"/>
                <w:szCs w:val="16"/>
              </w:rPr>
              <w:t>Obiekt</w:t>
            </w:r>
            <w:r w:rsidR="007A287A">
              <w:rPr>
                <w:sz w:val="16"/>
                <w:szCs w:val="16"/>
              </w:rPr>
              <w:t>y/ infrastruktura realizowane w </w:t>
            </w:r>
            <w:r w:rsidRPr="00E05374">
              <w:rPr>
                <w:sz w:val="16"/>
                <w:szCs w:val="16"/>
              </w:rPr>
              <w:t>ramach projektu będą ogólnodostępne.</w:t>
            </w:r>
          </w:p>
          <w:p w14:paraId="67F657F3" w14:textId="73F899D3" w:rsidR="00A74723" w:rsidRPr="0039208B" w:rsidRDefault="00A74723" w:rsidP="00E05374">
            <w:pPr>
              <w:rPr>
                <w:sz w:val="16"/>
                <w:szCs w:val="16"/>
              </w:rPr>
            </w:pPr>
            <w:r w:rsidRPr="00E05374">
              <w:rPr>
                <w:sz w:val="16"/>
                <w:szCs w:val="16"/>
              </w:rPr>
              <w:t>Projekt nie przewiduje realizacji inwestycji w elem</w:t>
            </w:r>
            <w:r w:rsidR="007A287A">
              <w:rPr>
                <w:sz w:val="16"/>
                <w:szCs w:val="16"/>
              </w:rPr>
              <w:t>enty infrastruktury drogowej (w </w:t>
            </w:r>
            <w:r w:rsidRPr="00E05374">
              <w:rPr>
                <w:sz w:val="16"/>
                <w:szCs w:val="16"/>
              </w:rPr>
              <w:t>tym parki</w:t>
            </w:r>
            <w:r w:rsidR="007A287A">
              <w:rPr>
                <w:sz w:val="16"/>
                <w:szCs w:val="16"/>
              </w:rPr>
              <w:t>ngi), infrastrukturę sportową i </w:t>
            </w:r>
            <w:r w:rsidRPr="00E05374">
              <w:rPr>
                <w:sz w:val="16"/>
                <w:szCs w:val="16"/>
              </w:rPr>
              <w:t>rekreacyj</w:t>
            </w:r>
            <w:r w:rsidR="007A287A">
              <w:rPr>
                <w:sz w:val="16"/>
                <w:szCs w:val="16"/>
              </w:rPr>
              <w:t>ną, ani inwestycji związanych z </w:t>
            </w:r>
            <w:r w:rsidRPr="00E05374">
              <w:rPr>
                <w:sz w:val="16"/>
                <w:szCs w:val="16"/>
              </w:rPr>
              <w:t>budynkami służącymi funkcjom administracyjno-zarządczym.</w:t>
            </w:r>
          </w:p>
        </w:tc>
        <w:tc>
          <w:tcPr>
            <w:tcW w:w="1417" w:type="dxa"/>
          </w:tcPr>
          <w:p w14:paraId="7098E0C3" w14:textId="210448C7" w:rsidR="00A74723" w:rsidRPr="0039208B" w:rsidRDefault="00A74723" w:rsidP="00A63813">
            <w:pPr>
              <w:pStyle w:val="Akapitzlist"/>
              <w:ind w:left="0"/>
              <w:rPr>
                <w:sz w:val="16"/>
                <w:szCs w:val="16"/>
              </w:rPr>
            </w:pPr>
            <w:r w:rsidRPr="00956BBA">
              <w:rPr>
                <w:sz w:val="16"/>
                <w:szCs w:val="16"/>
              </w:rPr>
              <w:t>FEM 2021-2027, CS 5i</w:t>
            </w:r>
            <w:r>
              <w:rPr>
                <w:sz w:val="16"/>
                <w:szCs w:val="16"/>
              </w:rPr>
              <w:t xml:space="preserve">, </w:t>
            </w:r>
            <w:r w:rsidRPr="009022B2">
              <w:rPr>
                <w:sz w:val="16"/>
                <w:szCs w:val="16"/>
              </w:rPr>
              <w:t>Działanie FEMP.07.01 IIT - Wsparcie oddolnych inicjatyw na obszarach miejskich</w:t>
            </w:r>
            <w:r>
              <w:rPr>
                <w:sz w:val="16"/>
                <w:szCs w:val="16"/>
              </w:rPr>
              <w:t xml:space="preserve">, Typ projektu </w:t>
            </w:r>
            <w:r w:rsidRPr="009022B2">
              <w:rPr>
                <w:sz w:val="16"/>
                <w:szCs w:val="16"/>
              </w:rPr>
              <w:t>D. Trasy turystyczne</w:t>
            </w:r>
          </w:p>
        </w:tc>
        <w:tc>
          <w:tcPr>
            <w:tcW w:w="1134" w:type="dxa"/>
          </w:tcPr>
          <w:p w14:paraId="33F390BA" w14:textId="72F5B818" w:rsidR="00A74723" w:rsidRPr="0039208B" w:rsidRDefault="00DD7070" w:rsidP="00A63813">
            <w:pPr>
              <w:pStyle w:val="Akapitzlist"/>
              <w:ind w:left="0"/>
              <w:rPr>
                <w:sz w:val="16"/>
                <w:szCs w:val="16"/>
              </w:rPr>
            </w:pPr>
            <w:r>
              <w:rPr>
                <w:sz w:val="16"/>
                <w:szCs w:val="16"/>
              </w:rPr>
              <w:t>296 064,09</w:t>
            </w:r>
          </w:p>
        </w:tc>
        <w:tc>
          <w:tcPr>
            <w:tcW w:w="968" w:type="dxa"/>
          </w:tcPr>
          <w:p w14:paraId="2203FB06" w14:textId="01FB9700" w:rsidR="00A74723" w:rsidRPr="0039208B" w:rsidRDefault="00A74723" w:rsidP="00A63813">
            <w:pPr>
              <w:pStyle w:val="Akapitzlist"/>
              <w:ind w:left="0"/>
              <w:rPr>
                <w:sz w:val="16"/>
                <w:szCs w:val="16"/>
              </w:rPr>
            </w:pPr>
            <w:r>
              <w:rPr>
                <w:sz w:val="16"/>
                <w:szCs w:val="16"/>
              </w:rPr>
              <w:t>2025-2027</w:t>
            </w:r>
          </w:p>
        </w:tc>
        <w:tc>
          <w:tcPr>
            <w:tcW w:w="2977" w:type="dxa"/>
          </w:tcPr>
          <w:p w14:paraId="4BB2DDB0" w14:textId="4ACC1235" w:rsidR="00A74723" w:rsidRDefault="00A74723" w:rsidP="00B461EF">
            <w:pPr>
              <w:pStyle w:val="Akapitzlist"/>
              <w:ind w:left="0"/>
              <w:rPr>
                <w:sz w:val="16"/>
                <w:szCs w:val="16"/>
              </w:rPr>
            </w:pPr>
            <w:r>
              <w:rPr>
                <w:sz w:val="16"/>
                <w:szCs w:val="16"/>
              </w:rPr>
              <w:t>Projekt jes</w:t>
            </w:r>
            <w:r w:rsidR="007A287A">
              <w:rPr>
                <w:sz w:val="16"/>
                <w:szCs w:val="16"/>
              </w:rPr>
              <w:t>t powiązany z projektami nr 1 i </w:t>
            </w:r>
            <w:r>
              <w:rPr>
                <w:sz w:val="16"/>
                <w:szCs w:val="16"/>
              </w:rPr>
              <w:t xml:space="preserve">2 ze względu na fakt, iż projektowany szlak turystyczny będzie stanowił element przestrzennie i funkcjonalnie  integrujący ofertę turystyczną OF Olkusza bazującą na walorach </w:t>
            </w:r>
            <w:r w:rsidRPr="00010890">
              <w:rPr>
                <w:sz w:val="16"/>
                <w:szCs w:val="16"/>
              </w:rPr>
              <w:t>przyrodniczo-krajobrazowych (Pustynia Błędowska, walory Jury Krakowsko-Częstochowskiej) oraz historyczno-kulturowych (</w:t>
            </w:r>
            <w:r>
              <w:rPr>
                <w:sz w:val="16"/>
                <w:szCs w:val="16"/>
              </w:rPr>
              <w:t xml:space="preserve">średniowieczne zabytki, </w:t>
            </w:r>
            <w:r w:rsidRPr="00010890">
              <w:rPr>
                <w:sz w:val="16"/>
                <w:szCs w:val="16"/>
              </w:rPr>
              <w:t>dziedzictwo przemysłowe, historia górnictwa na Ziemi Olkuskiej).</w:t>
            </w:r>
          </w:p>
          <w:p w14:paraId="27EF803B" w14:textId="77777777" w:rsidR="00A74723" w:rsidRDefault="00A74723" w:rsidP="00B461EF">
            <w:pPr>
              <w:pStyle w:val="Akapitzlist"/>
              <w:ind w:left="0"/>
              <w:rPr>
                <w:sz w:val="16"/>
                <w:szCs w:val="16"/>
              </w:rPr>
            </w:pPr>
          </w:p>
          <w:p w14:paraId="0DC1EBA6" w14:textId="2A17225D" w:rsidR="00A74723" w:rsidRPr="0039208B" w:rsidRDefault="00A74723" w:rsidP="00B461EF">
            <w:pPr>
              <w:pStyle w:val="Akapitzlist"/>
              <w:ind w:left="0"/>
              <w:rPr>
                <w:sz w:val="16"/>
                <w:szCs w:val="16"/>
              </w:rPr>
            </w:pPr>
            <w:r w:rsidRPr="00010890">
              <w:rPr>
                <w:sz w:val="16"/>
                <w:szCs w:val="16"/>
              </w:rPr>
              <w:t xml:space="preserve">Projekt jest </w:t>
            </w:r>
            <w:r>
              <w:rPr>
                <w:sz w:val="16"/>
                <w:szCs w:val="16"/>
              </w:rPr>
              <w:t xml:space="preserve">także </w:t>
            </w:r>
            <w:r w:rsidRPr="00010890">
              <w:rPr>
                <w:sz w:val="16"/>
                <w:szCs w:val="16"/>
              </w:rPr>
              <w:t xml:space="preserve">powiązany z projektami stanowiącymi element przedsięwzięcia związanego z </w:t>
            </w:r>
            <w:r>
              <w:rPr>
                <w:sz w:val="16"/>
                <w:szCs w:val="16"/>
              </w:rPr>
              <w:t>rozwojem oferty kulturalnej OF Olkusza. Bazują one wszystkie bowiem na bogatym dziedzictwie historyczno-kulturowym obszaru, a ich realizacja przełoży się na poprawę sytuacji społeczno-gospodarczej OF.</w:t>
            </w:r>
          </w:p>
        </w:tc>
      </w:tr>
      <w:tr w:rsidR="009E36EA" w14:paraId="70332455" w14:textId="77777777" w:rsidTr="00023F75">
        <w:trPr>
          <w:trHeight w:val="20"/>
        </w:trPr>
        <w:tc>
          <w:tcPr>
            <w:tcW w:w="1134" w:type="dxa"/>
            <w:vMerge w:val="restart"/>
            <w:shd w:val="clear" w:color="auto" w:fill="D9D9D9" w:themeFill="background1" w:themeFillShade="D9"/>
          </w:tcPr>
          <w:p w14:paraId="5BEA4BB8" w14:textId="5F39CC0A" w:rsidR="009E36EA" w:rsidRPr="00B70355" w:rsidRDefault="009E36EA" w:rsidP="00015371">
            <w:pPr>
              <w:pStyle w:val="Akapitzlist"/>
              <w:ind w:left="0"/>
              <w:rPr>
                <w:sz w:val="16"/>
              </w:rPr>
            </w:pPr>
            <w:r w:rsidRPr="00015371">
              <w:rPr>
                <w:sz w:val="16"/>
              </w:rPr>
              <w:t>ROZWÓJ OFERTY KULTURALNEJ OF OLKUSZA</w:t>
            </w:r>
          </w:p>
        </w:tc>
        <w:tc>
          <w:tcPr>
            <w:tcW w:w="4136" w:type="dxa"/>
            <w:vMerge w:val="restart"/>
            <w:shd w:val="clear" w:color="auto" w:fill="D9D9D9" w:themeFill="background1" w:themeFillShade="D9"/>
          </w:tcPr>
          <w:p w14:paraId="75882110" w14:textId="77777777" w:rsidR="009E36EA" w:rsidRDefault="009E36EA" w:rsidP="0072521F">
            <w:pPr>
              <w:pStyle w:val="Akapitzlist"/>
              <w:ind w:left="0"/>
              <w:rPr>
                <w:sz w:val="16"/>
              </w:rPr>
            </w:pPr>
            <w:r w:rsidRPr="0072521F">
              <w:rPr>
                <w:sz w:val="16"/>
              </w:rPr>
              <w:t>Przedsięwzięcie jest zgodne z założeniami 1 Celu IIT Rozbudowa oferty kulturalnej w obszarze funkcjonalnym Olkusza i podniesienie poziomu jej dostępności</w:t>
            </w:r>
            <w:r>
              <w:rPr>
                <w:sz w:val="16"/>
              </w:rPr>
              <w:t>.</w:t>
            </w:r>
          </w:p>
          <w:p w14:paraId="1ED1F02B" w14:textId="77777777" w:rsidR="009E36EA" w:rsidRDefault="009E36EA" w:rsidP="0072521F">
            <w:pPr>
              <w:pStyle w:val="Akapitzlist"/>
              <w:ind w:left="0"/>
              <w:rPr>
                <w:sz w:val="16"/>
              </w:rPr>
            </w:pPr>
          </w:p>
          <w:p w14:paraId="36A1501E" w14:textId="41D73D8B" w:rsidR="009E36EA" w:rsidRPr="00B022F6" w:rsidRDefault="009E36EA" w:rsidP="0072521F">
            <w:pPr>
              <w:pStyle w:val="Akapitzlist"/>
              <w:ind w:left="0"/>
              <w:rPr>
                <w:sz w:val="16"/>
              </w:rPr>
            </w:pPr>
            <w:r w:rsidRPr="0072521F">
              <w:rPr>
                <w:sz w:val="16"/>
              </w:rPr>
              <w:t>Zakres przedsięwzięcia został wskazany w odniesieniu do zdiagnozowanych</w:t>
            </w:r>
            <w:r w:rsidR="00CB0F50">
              <w:rPr>
                <w:sz w:val="16"/>
              </w:rPr>
              <w:t xml:space="preserve"> potrzeb i wyzwań rozwojowych w </w:t>
            </w:r>
            <w:r w:rsidRPr="0072521F">
              <w:rPr>
                <w:sz w:val="16"/>
              </w:rPr>
              <w:t xml:space="preserve">obszarze oferty kulturalnej </w:t>
            </w:r>
            <w:r>
              <w:rPr>
                <w:sz w:val="16"/>
              </w:rPr>
              <w:t xml:space="preserve">OF Olkusza. Z diagnozy strategicznej przeprowadzonej na potrzeby strategii wynika, że </w:t>
            </w:r>
            <w:r w:rsidRPr="0072521F">
              <w:rPr>
                <w:sz w:val="16"/>
              </w:rPr>
              <w:t>niezbędne jest wsparci</w:t>
            </w:r>
            <w:r w:rsidR="00CB0F50">
              <w:rPr>
                <w:sz w:val="16"/>
              </w:rPr>
              <w:t>e obiektów instytucji kultury w </w:t>
            </w:r>
            <w:r w:rsidRPr="0072521F">
              <w:rPr>
                <w:sz w:val="16"/>
              </w:rPr>
              <w:t xml:space="preserve">celu zapewnienia ich pełnej funkcjonalności i poprawy bezpieczeństwa ich użytkowników oraz udostępnienie ich oferty </w:t>
            </w:r>
            <w:r w:rsidRPr="00B022F6">
              <w:rPr>
                <w:sz w:val="16"/>
              </w:rPr>
              <w:t>dla większej grupy odbiorców, w tym również osób zagrożonych wykluczeniem społecznym.</w:t>
            </w:r>
          </w:p>
          <w:p w14:paraId="658B715A" w14:textId="77777777" w:rsidR="009E36EA" w:rsidRPr="00B022F6" w:rsidRDefault="009E36EA" w:rsidP="0072521F">
            <w:pPr>
              <w:pStyle w:val="Akapitzlist"/>
              <w:ind w:left="0"/>
              <w:rPr>
                <w:sz w:val="16"/>
              </w:rPr>
            </w:pPr>
          </w:p>
          <w:p w14:paraId="677E6770" w14:textId="77777777" w:rsidR="009E36EA" w:rsidRDefault="009E36EA" w:rsidP="0072521F">
            <w:pPr>
              <w:pStyle w:val="Akapitzlist"/>
              <w:ind w:left="0"/>
              <w:rPr>
                <w:sz w:val="16"/>
              </w:rPr>
            </w:pPr>
            <w:r w:rsidRPr="00B022F6">
              <w:rPr>
                <w:sz w:val="16"/>
              </w:rPr>
              <w:t>Przedsięwzięcie ma zintegrowany charakter. Realizacja zaplanowanych działań przyczyni się bowiem do poprawy jakości i dostępności oferty kulturalnej w gminach OF Olkusza.</w:t>
            </w:r>
            <w:r w:rsidRPr="0072521F">
              <w:rPr>
                <w:sz w:val="16"/>
              </w:rPr>
              <w:t xml:space="preserve"> </w:t>
            </w:r>
          </w:p>
          <w:p w14:paraId="4667B593" w14:textId="730B5854" w:rsidR="009E36EA" w:rsidRPr="00B70355" w:rsidRDefault="009E36EA" w:rsidP="0072521F">
            <w:pPr>
              <w:pStyle w:val="Akapitzlist"/>
              <w:ind w:left="0"/>
              <w:rPr>
                <w:sz w:val="16"/>
              </w:rPr>
            </w:pPr>
          </w:p>
        </w:tc>
        <w:tc>
          <w:tcPr>
            <w:tcW w:w="1960" w:type="dxa"/>
            <w:vMerge w:val="restart"/>
            <w:shd w:val="clear" w:color="auto" w:fill="D9D9D9" w:themeFill="background1" w:themeFillShade="D9"/>
          </w:tcPr>
          <w:p w14:paraId="3536D9CE" w14:textId="77777777" w:rsidR="00C94D13" w:rsidRPr="00EF0A6B" w:rsidRDefault="00C94D13" w:rsidP="00C94D13">
            <w:pPr>
              <w:pStyle w:val="Akapitzlist"/>
              <w:ind w:left="0"/>
              <w:rPr>
                <w:b/>
                <w:sz w:val="16"/>
              </w:rPr>
            </w:pPr>
            <w:r w:rsidRPr="00EF0A6B">
              <w:rPr>
                <w:b/>
                <w:sz w:val="16"/>
              </w:rPr>
              <w:t>Wskaźniki produktu:</w:t>
            </w:r>
          </w:p>
          <w:p w14:paraId="144E7C38" w14:textId="77777777" w:rsidR="00C94D13" w:rsidRDefault="00C94D13" w:rsidP="00C94D13">
            <w:pPr>
              <w:pStyle w:val="Akapitzlist"/>
              <w:ind w:left="0"/>
              <w:rPr>
                <w:sz w:val="16"/>
              </w:rPr>
            </w:pPr>
          </w:p>
          <w:p w14:paraId="220035A8" w14:textId="64955410" w:rsidR="00C94D13" w:rsidRDefault="00C94D13" w:rsidP="00C94D13">
            <w:pPr>
              <w:pStyle w:val="Akapitzlist"/>
              <w:ind w:left="0"/>
              <w:rPr>
                <w:sz w:val="16"/>
              </w:rPr>
            </w:pPr>
            <w:r w:rsidRPr="00EF0A6B">
              <w:rPr>
                <w:sz w:val="16"/>
              </w:rPr>
              <w:t>RCO77 - Liczba obiektów kulturalnych i turystycznych objętych wsparciem</w:t>
            </w:r>
            <w:r>
              <w:rPr>
                <w:sz w:val="16"/>
              </w:rPr>
              <w:t>: 2 obiekty</w:t>
            </w:r>
          </w:p>
          <w:p w14:paraId="7D17222E" w14:textId="77777777" w:rsidR="00C94D13" w:rsidRDefault="00C94D13" w:rsidP="00C94D13">
            <w:pPr>
              <w:pStyle w:val="Akapitzlist"/>
              <w:ind w:left="0"/>
              <w:rPr>
                <w:sz w:val="16"/>
              </w:rPr>
            </w:pPr>
          </w:p>
          <w:p w14:paraId="36A89894" w14:textId="77777777" w:rsidR="00061830" w:rsidRDefault="00061830" w:rsidP="00061830">
            <w:pPr>
              <w:pStyle w:val="Akapitzlist"/>
              <w:ind w:left="0"/>
              <w:rPr>
                <w:sz w:val="16"/>
              </w:rPr>
            </w:pPr>
            <w:r w:rsidRPr="00EF0A6B">
              <w:rPr>
                <w:sz w:val="16"/>
              </w:rPr>
              <w:t xml:space="preserve">RCO74 - Ludność objęta projektami w ramach strategii zintegrowanego rozwoju </w:t>
            </w:r>
            <w:r w:rsidRPr="009B4448">
              <w:rPr>
                <w:sz w:val="16"/>
              </w:rPr>
              <w:t>terytorialnego:</w:t>
            </w:r>
            <w:r>
              <w:t xml:space="preserve"> </w:t>
            </w:r>
            <w:r w:rsidRPr="00061830">
              <w:rPr>
                <w:sz w:val="16"/>
              </w:rPr>
              <w:t>65</w:t>
            </w:r>
            <w:r>
              <w:rPr>
                <w:sz w:val="16"/>
              </w:rPr>
              <w:t> </w:t>
            </w:r>
            <w:r w:rsidRPr="00061830">
              <w:rPr>
                <w:sz w:val="16"/>
              </w:rPr>
              <w:t>155</w:t>
            </w:r>
            <w:r>
              <w:rPr>
                <w:sz w:val="16"/>
              </w:rPr>
              <w:t xml:space="preserve"> </w:t>
            </w:r>
            <w:r w:rsidRPr="00E415E4">
              <w:rPr>
                <w:sz w:val="16"/>
              </w:rPr>
              <w:t>osób</w:t>
            </w:r>
          </w:p>
          <w:p w14:paraId="0B328F0A" w14:textId="77777777" w:rsidR="00C94D13" w:rsidRDefault="00C94D13" w:rsidP="00C94D13">
            <w:pPr>
              <w:pStyle w:val="Akapitzlist"/>
              <w:ind w:left="0"/>
              <w:rPr>
                <w:sz w:val="16"/>
              </w:rPr>
            </w:pPr>
          </w:p>
          <w:p w14:paraId="2DA624E9" w14:textId="69D23AC3" w:rsidR="00C94D13" w:rsidRDefault="00C94D13" w:rsidP="00C94D13">
            <w:pPr>
              <w:pStyle w:val="Akapitzlist"/>
              <w:ind w:left="0"/>
              <w:rPr>
                <w:sz w:val="16"/>
              </w:rPr>
            </w:pPr>
            <w:r w:rsidRPr="00EF0A6B">
              <w:rPr>
                <w:sz w:val="16"/>
              </w:rPr>
              <w:t>RCO75 - Wspierane strategie zintegrowanego rozwoju terytorialnego</w:t>
            </w:r>
            <w:r>
              <w:rPr>
                <w:sz w:val="16"/>
              </w:rPr>
              <w:t>: 2</w:t>
            </w:r>
          </w:p>
          <w:p w14:paraId="59E2D3E9" w14:textId="77777777" w:rsidR="00C94D13" w:rsidRDefault="00C94D13" w:rsidP="00C94D13">
            <w:pPr>
              <w:pStyle w:val="Akapitzlist"/>
              <w:ind w:left="0"/>
              <w:rPr>
                <w:sz w:val="16"/>
              </w:rPr>
            </w:pPr>
          </w:p>
          <w:p w14:paraId="6DE8869B" w14:textId="4B80DBEA" w:rsidR="00C94D13" w:rsidRDefault="00C94D13" w:rsidP="00C94D13">
            <w:pPr>
              <w:pStyle w:val="Akapitzlist"/>
              <w:ind w:left="0"/>
              <w:rPr>
                <w:sz w:val="16"/>
              </w:rPr>
            </w:pPr>
            <w:r w:rsidRPr="00EF0A6B">
              <w:rPr>
                <w:sz w:val="16"/>
              </w:rPr>
              <w:t>WLWK-PLRO141 - Liczba instytucji kultury objętych wsparciem</w:t>
            </w:r>
            <w:r>
              <w:rPr>
                <w:sz w:val="16"/>
              </w:rPr>
              <w:t>: 2 szt.</w:t>
            </w:r>
          </w:p>
          <w:p w14:paraId="0C80D6E8" w14:textId="77777777" w:rsidR="00C94D13" w:rsidRDefault="00C94D13" w:rsidP="00C94D13">
            <w:pPr>
              <w:pStyle w:val="Akapitzlist"/>
              <w:ind w:left="0"/>
              <w:rPr>
                <w:sz w:val="16"/>
              </w:rPr>
            </w:pPr>
          </w:p>
          <w:p w14:paraId="45C139A7" w14:textId="66BF106B" w:rsidR="00C94D13" w:rsidRDefault="00C94D13" w:rsidP="00C94D13">
            <w:pPr>
              <w:pStyle w:val="Akapitzlist"/>
              <w:ind w:left="0"/>
              <w:rPr>
                <w:sz w:val="16"/>
              </w:rPr>
            </w:pPr>
            <w:r w:rsidRPr="00EF0A6B">
              <w:rPr>
                <w:sz w:val="16"/>
              </w:rPr>
              <w:t xml:space="preserve">WLWK-PLRO132 - Liczba obiektów dostosowanych do potrzeb </w:t>
            </w:r>
            <w:r w:rsidRPr="00C743C3">
              <w:rPr>
                <w:sz w:val="16"/>
              </w:rPr>
              <w:t>osób z niepełnosprawnościami (EFRR/FST/FS): 2 obiekty</w:t>
            </w:r>
          </w:p>
          <w:p w14:paraId="20CD9E6D" w14:textId="77777777" w:rsidR="00C94D13" w:rsidRDefault="00C94D13" w:rsidP="00C94D13">
            <w:pPr>
              <w:pStyle w:val="Akapitzlist"/>
              <w:ind w:left="0"/>
              <w:rPr>
                <w:sz w:val="16"/>
              </w:rPr>
            </w:pPr>
          </w:p>
          <w:p w14:paraId="0B437E83" w14:textId="77777777" w:rsidR="00C94D13" w:rsidRPr="00EF0A6B" w:rsidRDefault="00C94D13" w:rsidP="00C94D13">
            <w:pPr>
              <w:pStyle w:val="Akapitzlist"/>
              <w:ind w:left="0"/>
              <w:rPr>
                <w:b/>
                <w:sz w:val="16"/>
              </w:rPr>
            </w:pPr>
            <w:r w:rsidRPr="00EF0A6B">
              <w:rPr>
                <w:b/>
                <w:sz w:val="16"/>
              </w:rPr>
              <w:t>Wskaźniki rezultatu:</w:t>
            </w:r>
          </w:p>
          <w:p w14:paraId="375922EF" w14:textId="77777777" w:rsidR="00C94D13" w:rsidRDefault="00C94D13" w:rsidP="00C94D13">
            <w:pPr>
              <w:pStyle w:val="Akapitzlist"/>
              <w:ind w:left="0"/>
              <w:rPr>
                <w:sz w:val="16"/>
              </w:rPr>
            </w:pPr>
          </w:p>
          <w:p w14:paraId="719DFF44" w14:textId="6B4D03ED" w:rsidR="00C94D13" w:rsidRPr="00DE78A9" w:rsidRDefault="00C94D13" w:rsidP="00C94D13">
            <w:pPr>
              <w:rPr>
                <w:sz w:val="16"/>
              </w:rPr>
            </w:pPr>
            <w:r w:rsidRPr="00EF0A6B">
              <w:rPr>
                <w:sz w:val="16"/>
              </w:rPr>
              <w:t xml:space="preserve">RCR77 - Liczba osób odwiedzających obiekty kulturalne i </w:t>
            </w:r>
            <w:r w:rsidRPr="009B4448">
              <w:rPr>
                <w:sz w:val="16"/>
              </w:rPr>
              <w:t xml:space="preserve">turystyczne </w:t>
            </w:r>
            <w:r w:rsidRPr="00DE78A9">
              <w:rPr>
                <w:sz w:val="16"/>
              </w:rPr>
              <w:t xml:space="preserve">objęte wsparciem: </w:t>
            </w:r>
            <w:r w:rsidR="00DE78A9" w:rsidRPr="00DE78A9">
              <w:rPr>
                <w:sz w:val="16"/>
              </w:rPr>
              <w:t>7 000</w:t>
            </w:r>
            <w:r w:rsidRPr="00DE78A9">
              <w:rPr>
                <w:sz w:val="16"/>
              </w:rPr>
              <w:t xml:space="preserve"> odwiedzający</w:t>
            </w:r>
            <w:r w:rsidR="00DE78A9" w:rsidRPr="00DE78A9">
              <w:rPr>
                <w:sz w:val="16"/>
              </w:rPr>
              <w:t>ch</w:t>
            </w:r>
            <w:r w:rsidRPr="00DE78A9">
              <w:rPr>
                <w:sz w:val="16"/>
              </w:rPr>
              <w:t>/</w:t>
            </w:r>
          </w:p>
          <w:p w14:paraId="13AD992E" w14:textId="5556C8BD" w:rsidR="009E36EA" w:rsidRPr="00EF0A6B" w:rsidRDefault="00C94D13" w:rsidP="00C94D13">
            <w:pPr>
              <w:pStyle w:val="Akapitzlist"/>
              <w:ind w:left="0"/>
              <w:rPr>
                <w:sz w:val="16"/>
              </w:rPr>
            </w:pPr>
            <w:r w:rsidRPr="00DE78A9">
              <w:rPr>
                <w:sz w:val="16"/>
              </w:rPr>
              <w:t>rok</w:t>
            </w:r>
          </w:p>
        </w:tc>
        <w:tc>
          <w:tcPr>
            <w:tcW w:w="425" w:type="dxa"/>
          </w:tcPr>
          <w:p w14:paraId="05DA25D9" w14:textId="48054F69" w:rsidR="009E36EA" w:rsidRPr="0039208B" w:rsidRDefault="00010890" w:rsidP="00015371">
            <w:pPr>
              <w:pStyle w:val="Akapitzlist"/>
              <w:ind w:left="0"/>
              <w:rPr>
                <w:sz w:val="16"/>
                <w:szCs w:val="16"/>
              </w:rPr>
            </w:pPr>
            <w:r>
              <w:rPr>
                <w:sz w:val="16"/>
                <w:szCs w:val="16"/>
              </w:rPr>
              <w:t>4</w:t>
            </w:r>
          </w:p>
        </w:tc>
        <w:tc>
          <w:tcPr>
            <w:tcW w:w="1867" w:type="dxa"/>
          </w:tcPr>
          <w:p w14:paraId="1CEAA8C9" w14:textId="17AE6182" w:rsidR="009E36EA" w:rsidRPr="0097298C" w:rsidRDefault="009E36EA" w:rsidP="00015371">
            <w:pPr>
              <w:pStyle w:val="Akapitzlist"/>
              <w:ind w:left="0"/>
              <w:rPr>
                <w:i/>
                <w:sz w:val="16"/>
                <w:szCs w:val="16"/>
              </w:rPr>
            </w:pPr>
            <w:r w:rsidRPr="00015371">
              <w:rPr>
                <w:i/>
                <w:sz w:val="16"/>
                <w:szCs w:val="16"/>
              </w:rPr>
              <w:t>Poprawa funkcjonalności Domu Kultury „Papiernik” w Kluczach poprzez rozbudowę sali widowiskowej o funkcje kina</w:t>
            </w:r>
          </w:p>
        </w:tc>
        <w:tc>
          <w:tcPr>
            <w:tcW w:w="992" w:type="dxa"/>
          </w:tcPr>
          <w:p w14:paraId="7159EE46" w14:textId="3FC66BD9" w:rsidR="009E36EA" w:rsidRPr="0097298C" w:rsidRDefault="009E36EA" w:rsidP="00015371">
            <w:pPr>
              <w:pStyle w:val="Akapitzlist"/>
              <w:ind w:left="0"/>
              <w:rPr>
                <w:sz w:val="16"/>
              </w:rPr>
            </w:pPr>
            <w:r w:rsidRPr="00015371">
              <w:rPr>
                <w:sz w:val="16"/>
              </w:rPr>
              <w:t>Gmina Klucze</w:t>
            </w:r>
          </w:p>
        </w:tc>
        <w:tc>
          <w:tcPr>
            <w:tcW w:w="2953" w:type="dxa"/>
          </w:tcPr>
          <w:p w14:paraId="2216E9AB" w14:textId="687EA23D" w:rsidR="009E36EA" w:rsidRPr="0039208B" w:rsidRDefault="009E36EA" w:rsidP="0046214A">
            <w:pPr>
              <w:rPr>
                <w:sz w:val="16"/>
                <w:szCs w:val="16"/>
              </w:rPr>
            </w:pPr>
            <w:r w:rsidRPr="00B043AE">
              <w:rPr>
                <w:sz w:val="16"/>
                <w:szCs w:val="16"/>
              </w:rPr>
              <w:t xml:space="preserve">Projekt zakłada </w:t>
            </w:r>
            <w:r>
              <w:rPr>
                <w:sz w:val="16"/>
                <w:szCs w:val="16"/>
              </w:rPr>
              <w:t>rozwój instytucji kultury jaką</w:t>
            </w:r>
            <w:r w:rsidR="007A287A">
              <w:rPr>
                <w:sz w:val="16"/>
                <w:szCs w:val="16"/>
              </w:rPr>
              <w:t xml:space="preserve"> jest Dom Kultury „Papiernik” w </w:t>
            </w:r>
            <w:r>
              <w:rPr>
                <w:sz w:val="16"/>
                <w:szCs w:val="16"/>
              </w:rPr>
              <w:t xml:space="preserve">Kluczach poprzez rozbudowę i remont obiektu, w tym wyposażenie w sprzęt umożliwiający rozszerzenie funkcjonalności obiektu o funkcję kina. Projekt obejmuje prace ukierunkowane na </w:t>
            </w:r>
            <w:r w:rsidRPr="00B043AE">
              <w:rPr>
                <w:sz w:val="16"/>
                <w:szCs w:val="16"/>
              </w:rPr>
              <w:t xml:space="preserve">dostosowanie </w:t>
            </w:r>
            <w:r>
              <w:rPr>
                <w:sz w:val="16"/>
                <w:szCs w:val="16"/>
              </w:rPr>
              <w:t xml:space="preserve">obiektu </w:t>
            </w:r>
            <w:r w:rsidRPr="00B043AE">
              <w:rPr>
                <w:sz w:val="16"/>
                <w:szCs w:val="16"/>
              </w:rPr>
              <w:t>do obecnie panujących standardów placówek kinowych, dostosowanie do obowi</w:t>
            </w:r>
            <w:r>
              <w:rPr>
                <w:sz w:val="16"/>
                <w:szCs w:val="16"/>
              </w:rPr>
              <w:t>ązujących przepisów oraz poprawę</w:t>
            </w:r>
            <w:r w:rsidRPr="00B043AE">
              <w:rPr>
                <w:sz w:val="16"/>
                <w:szCs w:val="16"/>
              </w:rPr>
              <w:t xml:space="preserve"> warunków funkcjonalnych. </w:t>
            </w:r>
          </w:p>
        </w:tc>
        <w:tc>
          <w:tcPr>
            <w:tcW w:w="3001" w:type="dxa"/>
          </w:tcPr>
          <w:p w14:paraId="2F83B46F" w14:textId="58CB1B95" w:rsidR="00B73203" w:rsidRDefault="00B73203" w:rsidP="00B73203">
            <w:pPr>
              <w:rPr>
                <w:sz w:val="16"/>
                <w:szCs w:val="16"/>
              </w:rPr>
            </w:pPr>
            <w:r w:rsidRPr="00B73203">
              <w:rPr>
                <w:sz w:val="16"/>
                <w:szCs w:val="16"/>
              </w:rPr>
              <w:t xml:space="preserve">Projekt realizuje typ projektu A. Infrastruktura kultury w ramach FEM, będzie realizowany w </w:t>
            </w:r>
            <w:r w:rsidR="007A287A">
              <w:rPr>
                <w:sz w:val="16"/>
                <w:szCs w:val="16"/>
              </w:rPr>
              <w:t>Gminie Klucze, w </w:t>
            </w:r>
            <w:r>
              <w:rPr>
                <w:sz w:val="16"/>
                <w:szCs w:val="16"/>
              </w:rPr>
              <w:t>obrębie OF Olkusza.</w:t>
            </w:r>
          </w:p>
          <w:p w14:paraId="4A27CA92" w14:textId="77777777" w:rsidR="00B73203" w:rsidRDefault="00B73203" w:rsidP="00B73203">
            <w:pPr>
              <w:rPr>
                <w:sz w:val="16"/>
                <w:szCs w:val="16"/>
              </w:rPr>
            </w:pPr>
          </w:p>
          <w:p w14:paraId="5A1AA928" w14:textId="2F08D6DF" w:rsidR="00B73203" w:rsidRDefault="00B73203" w:rsidP="00B73203">
            <w:pPr>
              <w:rPr>
                <w:sz w:val="16"/>
                <w:szCs w:val="16"/>
              </w:rPr>
            </w:pPr>
            <w:r>
              <w:rPr>
                <w:sz w:val="16"/>
                <w:szCs w:val="16"/>
              </w:rPr>
              <w:t xml:space="preserve">Projekt przyczyni się do </w:t>
            </w:r>
            <w:r w:rsidRPr="00B73203">
              <w:rPr>
                <w:sz w:val="16"/>
                <w:szCs w:val="16"/>
              </w:rPr>
              <w:t>poprawy jakości funkcjonowania infrastruktury kultury, poprzez podnoszenie</w:t>
            </w:r>
            <w:r>
              <w:rPr>
                <w:sz w:val="16"/>
                <w:szCs w:val="16"/>
              </w:rPr>
              <w:t xml:space="preserve"> </w:t>
            </w:r>
            <w:r w:rsidRPr="00B73203">
              <w:rPr>
                <w:sz w:val="16"/>
                <w:szCs w:val="16"/>
              </w:rPr>
              <w:t>standardów infrastruktury.</w:t>
            </w:r>
            <w:r>
              <w:rPr>
                <w:sz w:val="16"/>
                <w:szCs w:val="16"/>
              </w:rPr>
              <w:t xml:space="preserve"> </w:t>
            </w:r>
          </w:p>
          <w:p w14:paraId="012801CE" w14:textId="7CD78261" w:rsidR="00B73203" w:rsidRDefault="00B73203" w:rsidP="00B73203">
            <w:pPr>
              <w:rPr>
                <w:sz w:val="16"/>
                <w:szCs w:val="16"/>
              </w:rPr>
            </w:pPr>
            <w:r w:rsidRPr="00B73203">
              <w:rPr>
                <w:sz w:val="16"/>
                <w:szCs w:val="16"/>
              </w:rPr>
              <w:t>Rez</w:t>
            </w:r>
            <w:r w:rsidR="007A287A">
              <w:rPr>
                <w:sz w:val="16"/>
                <w:szCs w:val="16"/>
              </w:rPr>
              <w:t>ultatem będzie wzrost jakości i </w:t>
            </w:r>
            <w:r w:rsidRPr="00B73203">
              <w:rPr>
                <w:sz w:val="16"/>
                <w:szCs w:val="16"/>
              </w:rPr>
              <w:t xml:space="preserve">dostępności oferty w obszarze kultury, szczególnie dla osób zagrożonych wykluczeniem społecznym. </w:t>
            </w:r>
          </w:p>
          <w:p w14:paraId="0F55F330" w14:textId="55583A26" w:rsidR="00B73203" w:rsidRPr="00B73203" w:rsidRDefault="00B73203" w:rsidP="00B73203">
            <w:pPr>
              <w:rPr>
                <w:sz w:val="16"/>
                <w:szCs w:val="16"/>
              </w:rPr>
            </w:pPr>
            <w:r w:rsidRPr="00B73203">
              <w:rPr>
                <w:sz w:val="16"/>
                <w:szCs w:val="16"/>
              </w:rPr>
              <w:t>Obiekt</w:t>
            </w:r>
            <w:r w:rsidR="007A287A">
              <w:rPr>
                <w:sz w:val="16"/>
                <w:szCs w:val="16"/>
              </w:rPr>
              <w:t>y/ infrastruktura realizowane w </w:t>
            </w:r>
            <w:r w:rsidRPr="00B73203">
              <w:rPr>
                <w:sz w:val="16"/>
                <w:szCs w:val="16"/>
              </w:rPr>
              <w:t>ramach projektu będą ogólnodostępne. W skali roku przynajmniej 80% czasu lub przestrzeni wspieranej infrastruktury będzie wykorzystywane do celów związanych z kulturą.</w:t>
            </w:r>
          </w:p>
          <w:p w14:paraId="640F10DF" w14:textId="577EFEE8" w:rsidR="009E36EA" w:rsidRPr="0039208B" w:rsidRDefault="00B73203" w:rsidP="00B73203">
            <w:pPr>
              <w:rPr>
                <w:sz w:val="16"/>
                <w:szCs w:val="16"/>
              </w:rPr>
            </w:pPr>
            <w:r w:rsidRPr="00B73203">
              <w:rPr>
                <w:sz w:val="16"/>
                <w:szCs w:val="16"/>
              </w:rPr>
              <w:t>Projekt nie przewiduje realizacji inwestycji w elem</w:t>
            </w:r>
            <w:r w:rsidR="007A287A">
              <w:rPr>
                <w:sz w:val="16"/>
                <w:szCs w:val="16"/>
              </w:rPr>
              <w:t>enty infrastruktury drogowej (w </w:t>
            </w:r>
            <w:r w:rsidRPr="00B73203">
              <w:rPr>
                <w:sz w:val="16"/>
                <w:szCs w:val="16"/>
              </w:rPr>
              <w:t>tym parki</w:t>
            </w:r>
            <w:r w:rsidR="007A287A">
              <w:rPr>
                <w:sz w:val="16"/>
                <w:szCs w:val="16"/>
              </w:rPr>
              <w:t>ngi), infrastrukturę sportową i </w:t>
            </w:r>
            <w:r w:rsidRPr="00B73203">
              <w:rPr>
                <w:sz w:val="16"/>
                <w:szCs w:val="16"/>
              </w:rPr>
              <w:t>rekreacyjną, ani inwestycji związan</w:t>
            </w:r>
            <w:r w:rsidR="007A287A">
              <w:rPr>
                <w:sz w:val="16"/>
                <w:szCs w:val="16"/>
              </w:rPr>
              <w:t>ych z </w:t>
            </w:r>
            <w:r w:rsidRPr="00B73203">
              <w:rPr>
                <w:sz w:val="16"/>
                <w:szCs w:val="16"/>
              </w:rPr>
              <w:t>budynkami służącymi funkcjom administracyjno-zarządczym.</w:t>
            </w:r>
          </w:p>
        </w:tc>
        <w:tc>
          <w:tcPr>
            <w:tcW w:w="1417" w:type="dxa"/>
          </w:tcPr>
          <w:p w14:paraId="31072D5B" w14:textId="25A67D6E" w:rsidR="009E36EA" w:rsidRPr="0039208B" w:rsidRDefault="0001741E" w:rsidP="00015371">
            <w:pPr>
              <w:pStyle w:val="Akapitzlist"/>
              <w:ind w:left="0"/>
              <w:rPr>
                <w:sz w:val="16"/>
                <w:szCs w:val="16"/>
              </w:rPr>
            </w:pPr>
            <w:r w:rsidRPr="00956BBA">
              <w:rPr>
                <w:sz w:val="16"/>
                <w:szCs w:val="16"/>
              </w:rPr>
              <w:t>FEM 2021-2027, CS 5i</w:t>
            </w:r>
            <w:r>
              <w:rPr>
                <w:sz w:val="16"/>
                <w:szCs w:val="16"/>
              </w:rPr>
              <w:t xml:space="preserve">, </w:t>
            </w:r>
            <w:r w:rsidRPr="009022B2">
              <w:rPr>
                <w:sz w:val="16"/>
                <w:szCs w:val="16"/>
              </w:rPr>
              <w:t>Działanie FEMP.07.01 IIT - Wsparcie oddolnych inicjatyw na obszarach miejskich</w:t>
            </w:r>
            <w:r>
              <w:rPr>
                <w:sz w:val="16"/>
                <w:szCs w:val="16"/>
              </w:rPr>
              <w:t xml:space="preserve">, Typ projektu </w:t>
            </w:r>
            <w:r w:rsidRPr="009022B2">
              <w:rPr>
                <w:sz w:val="16"/>
                <w:szCs w:val="16"/>
              </w:rPr>
              <w:t>A. Infrastruktura kultury</w:t>
            </w:r>
          </w:p>
        </w:tc>
        <w:tc>
          <w:tcPr>
            <w:tcW w:w="1134" w:type="dxa"/>
          </w:tcPr>
          <w:p w14:paraId="7B63B693" w14:textId="341160A0" w:rsidR="009E36EA" w:rsidRPr="0039208B" w:rsidRDefault="00DD7070" w:rsidP="00015371">
            <w:pPr>
              <w:pStyle w:val="Akapitzlist"/>
              <w:ind w:left="0"/>
              <w:rPr>
                <w:sz w:val="16"/>
                <w:szCs w:val="16"/>
              </w:rPr>
            </w:pPr>
            <w:r>
              <w:rPr>
                <w:sz w:val="16"/>
                <w:szCs w:val="16"/>
              </w:rPr>
              <w:t>138 163,24</w:t>
            </w:r>
          </w:p>
        </w:tc>
        <w:tc>
          <w:tcPr>
            <w:tcW w:w="968" w:type="dxa"/>
          </w:tcPr>
          <w:p w14:paraId="3B602049" w14:textId="607A036D" w:rsidR="009E36EA" w:rsidRPr="0039208B" w:rsidRDefault="00A471E6" w:rsidP="00015371">
            <w:pPr>
              <w:pStyle w:val="Akapitzlist"/>
              <w:ind w:left="0"/>
              <w:rPr>
                <w:sz w:val="16"/>
                <w:szCs w:val="16"/>
              </w:rPr>
            </w:pPr>
            <w:r>
              <w:rPr>
                <w:sz w:val="16"/>
                <w:szCs w:val="16"/>
              </w:rPr>
              <w:t>2025-2026</w:t>
            </w:r>
          </w:p>
        </w:tc>
        <w:tc>
          <w:tcPr>
            <w:tcW w:w="2977" w:type="dxa"/>
          </w:tcPr>
          <w:p w14:paraId="399F31B5" w14:textId="64E01262" w:rsidR="001A10A1" w:rsidRDefault="001A10A1" w:rsidP="001A10A1">
            <w:pPr>
              <w:pStyle w:val="Akapitzlist"/>
              <w:ind w:left="0"/>
              <w:rPr>
                <w:sz w:val="16"/>
                <w:szCs w:val="16"/>
              </w:rPr>
            </w:pPr>
            <w:r>
              <w:rPr>
                <w:sz w:val="16"/>
                <w:szCs w:val="16"/>
              </w:rPr>
              <w:t xml:space="preserve">Projekt jest powiązany z projektem nr 5 ze względu na fakt, iż oba skupione są na rozwoju </w:t>
            </w:r>
            <w:r w:rsidR="007A287A">
              <w:rPr>
                <w:sz w:val="16"/>
                <w:szCs w:val="16"/>
              </w:rPr>
              <w:t>oferty kulturalnej OF Olkusza i </w:t>
            </w:r>
            <w:r>
              <w:rPr>
                <w:sz w:val="16"/>
                <w:szCs w:val="16"/>
              </w:rPr>
              <w:t>podnoszeniu poziomu jej dostępności.</w:t>
            </w:r>
          </w:p>
          <w:p w14:paraId="2B42CDF0" w14:textId="77777777" w:rsidR="001A10A1" w:rsidRDefault="001A10A1" w:rsidP="001A10A1">
            <w:pPr>
              <w:pStyle w:val="Akapitzlist"/>
              <w:ind w:left="0"/>
              <w:rPr>
                <w:sz w:val="16"/>
                <w:szCs w:val="16"/>
              </w:rPr>
            </w:pPr>
          </w:p>
          <w:p w14:paraId="3CE33A38" w14:textId="5A59308C" w:rsidR="001A10A1" w:rsidRDefault="001A10A1" w:rsidP="001A10A1">
            <w:pPr>
              <w:pStyle w:val="Akapitzlist"/>
              <w:ind w:left="0"/>
              <w:rPr>
                <w:sz w:val="16"/>
                <w:szCs w:val="16"/>
              </w:rPr>
            </w:pPr>
            <w:r>
              <w:rPr>
                <w:sz w:val="16"/>
                <w:szCs w:val="16"/>
              </w:rPr>
              <w:t xml:space="preserve">Projekt jest również związany z projektem nr 3, który przestrzennie i funkcjonalnie  integruje zasoby historyczno-kulturowe OF Olkusza, stanowiące również element oferty kulturalnej. </w:t>
            </w:r>
          </w:p>
          <w:p w14:paraId="71C36629" w14:textId="57426AAB" w:rsidR="009E36EA" w:rsidRPr="0039208B" w:rsidRDefault="009E36EA" w:rsidP="00D3269D">
            <w:pPr>
              <w:pStyle w:val="Akapitzlist"/>
              <w:ind w:left="0"/>
              <w:rPr>
                <w:sz w:val="16"/>
                <w:szCs w:val="16"/>
              </w:rPr>
            </w:pPr>
          </w:p>
        </w:tc>
      </w:tr>
      <w:tr w:rsidR="009E36EA" w14:paraId="5FEE24E6" w14:textId="77777777" w:rsidTr="00023F75">
        <w:trPr>
          <w:trHeight w:val="20"/>
        </w:trPr>
        <w:tc>
          <w:tcPr>
            <w:tcW w:w="1134" w:type="dxa"/>
            <w:vMerge/>
            <w:shd w:val="clear" w:color="auto" w:fill="D9D9D9" w:themeFill="background1" w:themeFillShade="D9"/>
          </w:tcPr>
          <w:p w14:paraId="7505D161" w14:textId="3BA14952" w:rsidR="009E36EA" w:rsidRPr="00B70355" w:rsidRDefault="009E36EA" w:rsidP="00015371">
            <w:pPr>
              <w:pStyle w:val="Akapitzlist"/>
              <w:ind w:left="0"/>
              <w:rPr>
                <w:sz w:val="16"/>
              </w:rPr>
            </w:pPr>
          </w:p>
        </w:tc>
        <w:tc>
          <w:tcPr>
            <w:tcW w:w="4136" w:type="dxa"/>
            <w:vMerge/>
            <w:shd w:val="clear" w:color="auto" w:fill="D9D9D9" w:themeFill="background1" w:themeFillShade="D9"/>
          </w:tcPr>
          <w:p w14:paraId="7B3E63DB" w14:textId="77777777" w:rsidR="009E36EA" w:rsidRPr="00B70355" w:rsidRDefault="009E36EA" w:rsidP="00015371">
            <w:pPr>
              <w:pStyle w:val="Akapitzlist"/>
              <w:ind w:left="0"/>
              <w:rPr>
                <w:sz w:val="16"/>
              </w:rPr>
            </w:pPr>
          </w:p>
        </w:tc>
        <w:tc>
          <w:tcPr>
            <w:tcW w:w="1960" w:type="dxa"/>
            <w:vMerge/>
            <w:shd w:val="clear" w:color="auto" w:fill="D9D9D9" w:themeFill="background1" w:themeFillShade="D9"/>
          </w:tcPr>
          <w:p w14:paraId="2389BEDF" w14:textId="77777777" w:rsidR="009E36EA" w:rsidRPr="00EF0A6B" w:rsidRDefault="009E36EA" w:rsidP="00015371">
            <w:pPr>
              <w:pStyle w:val="Akapitzlist"/>
              <w:ind w:left="0"/>
              <w:rPr>
                <w:sz w:val="16"/>
              </w:rPr>
            </w:pPr>
          </w:p>
        </w:tc>
        <w:tc>
          <w:tcPr>
            <w:tcW w:w="425" w:type="dxa"/>
          </w:tcPr>
          <w:p w14:paraId="766C43A8" w14:textId="192B5480" w:rsidR="009E36EA" w:rsidRPr="0039208B" w:rsidRDefault="00010890" w:rsidP="00015371">
            <w:pPr>
              <w:pStyle w:val="Akapitzlist"/>
              <w:ind w:left="0"/>
              <w:rPr>
                <w:sz w:val="16"/>
                <w:szCs w:val="16"/>
              </w:rPr>
            </w:pPr>
            <w:r>
              <w:rPr>
                <w:sz w:val="16"/>
                <w:szCs w:val="16"/>
              </w:rPr>
              <w:t>5</w:t>
            </w:r>
          </w:p>
        </w:tc>
        <w:tc>
          <w:tcPr>
            <w:tcW w:w="1867" w:type="dxa"/>
          </w:tcPr>
          <w:p w14:paraId="326C6B49" w14:textId="2E0A5C36" w:rsidR="009E36EA" w:rsidRPr="0097298C" w:rsidRDefault="00A63813" w:rsidP="00015371">
            <w:pPr>
              <w:pStyle w:val="Akapitzlist"/>
              <w:ind w:left="0"/>
              <w:rPr>
                <w:i/>
                <w:sz w:val="16"/>
                <w:szCs w:val="16"/>
              </w:rPr>
            </w:pPr>
            <w:r w:rsidRPr="00A63813">
              <w:rPr>
                <w:i/>
                <w:sz w:val="16"/>
                <w:szCs w:val="16"/>
              </w:rPr>
              <w:t>Remont i doposażenie zabytkowego dworku w Bolesławiu, na potrzeby rozwoju działalności Centrum Kultury</w:t>
            </w:r>
          </w:p>
        </w:tc>
        <w:tc>
          <w:tcPr>
            <w:tcW w:w="992" w:type="dxa"/>
          </w:tcPr>
          <w:p w14:paraId="045C8EB0" w14:textId="3A244098" w:rsidR="009E36EA" w:rsidRPr="0097298C" w:rsidRDefault="009E36EA" w:rsidP="00015371">
            <w:pPr>
              <w:pStyle w:val="Akapitzlist"/>
              <w:ind w:left="0"/>
              <w:rPr>
                <w:sz w:val="16"/>
              </w:rPr>
            </w:pPr>
            <w:r w:rsidRPr="00015371">
              <w:rPr>
                <w:sz w:val="16"/>
              </w:rPr>
              <w:t>Gmina Bolesław</w:t>
            </w:r>
          </w:p>
        </w:tc>
        <w:tc>
          <w:tcPr>
            <w:tcW w:w="2953" w:type="dxa"/>
          </w:tcPr>
          <w:p w14:paraId="75EE0448" w14:textId="077ACAF8" w:rsidR="009D0081" w:rsidRDefault="00A63813" w:rsidP="00A63813">
            <w:pPr>
              <w:rPr>
                <w:sz w:val="16"/>
                <w:szCs w:val="16"/>
              </w:rPr>
            </w:pPr>
            <w:r w:rsidRPr="00A63813">
              <w:rPr>
                <w:sz w:val="16"/>
                <w:szCs w:val="16"/>
              </w:rPr>
              <w:t xml:space="preserve">Zadanie obejmuje </w:t>
            </w:r>
            <w:r w:rsidR="009D0081">
              <w:rPr>
                <w:sz w:val="16"/>
                <w:szCs w:val="16"/>
              </w:rPr>
              <w:t xml:space="preserve">realizację prac remontowych podnoszących standard infrastruktury kultury i podnoszących poziom bezpieczeństwa oraz doposażenie w niezbędny sprzęt umożliwiający rozwój oferty Centrum Kultury. </w:t>
            </w:r>
          </w:p>
          <w:p w14:paraId="6DDAAE22" w14:textId="0CC94D83" w:rsidR="009E36EA" w:rsidRPr="0039208B" w:rsidRDefault="009E36EA" w:rsidP="00A63813">
            <w:pPr>
              <w:rPr>
                <w:sz w:val="16"/>
                <w:szCs w:val="16"/>
              </w:rPr>
            </w:pPr>
          </w:p>
        </w:tc>
        <w:tc>
          <w:tcPr>
            <w:tcW w:w="3001" w:type="dxa"/>
          </w:tcPr>
          <w:p w14:paraId="7FE38C19" w14:textId="13D4E5ED" w:rsidR="00B73203" w:rsidRDefault="00B73203" w:rsidP="00B73203">
            <w:pPr>
              <w:rPr>
                <w:sz w:val="16"/>
                <w:szCs w:val="16"/>
              </w:rPr>
            </w:pPr>
            <w:r w:rsidRPr="00B73203">
              <w:rPr>
                <w:sz w:val="16"/>
                <w:szCs w:val="16"/>
              </w:rPr>
              <w:t xml:space="preserve">Projekt realizuje typ projektu A. Infrastruktura kultury w ramach FEM, będzie realizowany w </w:t>
            </w:r>
            <w:r w:rsidR="007A287A">
              <w:rPr>
                <w:sz w:val="16"/>
                <w:szCs w:val="16"/>
              </w:rPr>
              <w:t>Gminie Bolesław, w </w:t>
            </w:r>
            <w:r>
              <w:rPr>
                <w:sz w:val="16"/>
                <w:szCs w:val="16"/>
              </w:rPr>
              <w:t>obrębie OF Olkusza.</w:t>
            </w:r>
          </w:p>
          <w:p w14:paraId="57828EEC" w14:textId="77777777" w:rsidR="00B73203" w:rsidRDefault="00B73203" w:rsidP="00B73203">
            <w:pPr>
              <w:rPr>
                <w:sz w:val="16"/>
                <w:szCs w:val="16"/>
              </w:rPr>
            </w:pPr>
          </w:p>
          <w:p w14:paraId="46B1C6AE" w14:textId="77777777" w:rsidR="00B73203" w:rsidRDefault="00B73203" w:rsidP="00B73203">
            <w:pPr>
              <w:rPr>
                <w:sz w:val="16"/>
                <w:szCs w:val="16"/>
              </w:rPr>
            </w:pPr>
            <w:r>
              <w:rPr>
                <w:sz w:val="16"/>
                <w:szCs w:val="16"/>
              </w:rPr>
              <w:t xml:space="preserve">Projekt przyczyni się do </w:t>
            </w:r>
            <w:r w:rsidRPr="00B73203">
              <w:rPr>
                <w:sz w:val="16"/>
                <w:szCs w:val="16"/>
              </w:rPr>
              <w:t>poprawy jakości funkcjonowania infrastruktury kultury, poprzez podnoszenie</w:t>
            </w:r>
            <w:r>
              <w:rPr>
                <w:sz w:val="16"/>
                <w:szCs w:val="16"/>
              </w:rPr>
              <w:t xml:space="preserve"> </w:t>
            </w:r>
            <w:r w:rsidRPr="00B73203">
              <w:rPr>
                <w:sz w:val="16"/>
                <w:szCs w:val="16"/>
              </w:rPr>
              <w:t>standardów infrastruktury.</w:t>
            </w:r>
            <w:r>
              <w:rPr>
                <w:sz w:val="16"/>
                <w:szCs w:val="16"/>
              </w:rPr>
              <w:t xml:space="preserve"> </w:t>
            </w:r>
          </w:p>
          <w:p w14:paraId="2D1FDDF9" w14:textId="4763B768" w:rsidR="00B73203" w:rsidRDefault="00B73203" w:rsidP="00B73203">
            <w:pPr>
              <w:rPr>
                <w:sz w:val="16"/>
                <w:szCs w:val="16"/>
              </w:rPr>
            </w:pPr>
            <w:r w:rsidRPr="00B73203">
              <w:rPr>
                <w:sz w:val="16"/>
                <w:szCs w:val="16"/>
              </w:rPr>
              <w:t>Rez</w:t>
            </w:r>
            <w:r w:rsidR="007A287A">
              <w:rPr>
                <w:sz w:val="16"/>
                <w:szCs w:val="16"/>
              </w:rPr>
              <w:t>ultatem będzie wzrost jakości i </w:t>
            </w:r>
            <w:r w:rsidRPr="00B73203">
              <w:rPr>
                <w:sz w:val="16"/>
                <w:szCs w:val="16"/>
              </w:rPr>
              <w:t xml:space="preserve">dostępności oferty w obszarze kultury, szczególnie dla osób zagrożonych wykluczeniem społecznym. </w:t>
            </w:r>
          </w:p>
          <w:p w14:paraId="3A936E5A" w14:textId="584EEA36" w:rsidR="00B73203" w:rsidRPr="00B73203" w:rsidRDefault="00B73203" w:rsidP="00B73203">
            <w:pPr>
              <w:rPr>
                <w:sz w:val="16"/>
                <w:szCs w:val="16"/>
              </w:rPr>
            </w:pPr>
            <w:r w:rsidRPr="00B73203">
              <w:rPr>
                <w:sz w:val="16"/>
                <w:szCs w:val="16"/>
              </w:rPr>
              <w:t>Obiekt</w:t>
            </w:r>
            <w:r w:rsidR="007A287A">
              <w:rPr>
                <w:sz w:val="16"/>
                <w:szCs w:val="16"/>
              </w:rPr>
              <w:t>y/ infrastruktura realizowane w </w:t>
            </w:r>
            <w:r w:rsidRPr="00B73203">
              <w:rPr>
                <w:sz w:val="16"/>
                <w:szCs w:val="16"/>
              </w:rPr>
              <w:t>ramach projektu będą ogólnodostępne. W skali roku przynajmniej 80% czasu lub przestrzeni wspieranej infrastruktury będzie wykorzystywane do celów związanych z kulturą.</w:t>
            </w:r>
          </w:p>
          <w:p w14:paraId="79573107" w14:textId="05936F2F" w:rsidR="009E36EA" w:rsidRPr="0039208B" w:rsidRDefault="00B73203" w:rsidP="00B73203">
            <w:pPr>
              <w:rPr>
                <w:sz w:val="16"/>
                <w:szCs w:val="16"/>
              </w:rPr>
            </w:pPr>
            <w:r w:rsidRPr="00B73203">
              <w:rPr>
                <w:sz w:val="16"/>
                <w:szCs w:val="16"/>
              </w:rPr>
              <w:t>Projekt nie przewiduje realizacji inwestycji w elem</w:t>
            </w:r>
            <w:r w:rsidR="007A287A">
              <w:rPr>
                <w:sz w:val="16"/>
                <w:szCs w:val="16"/>
              </w:rPr>
              <w:t>enty infrastruktury drogowej (w </w:t>
            </w:r>
            <w:r w:rsidRPr="00B73203">
              <w:rPr>
                <w:sz w:val="16"/>
                <w:szCs w:val="16"/>
              </w:rPr>
              <w:t>tym parki</w:t>
            </w:r>
            <w:r w:rsidR="007A287A">
              <w:rPr>
                <w:sz w:val="16"/>
                <w:szCs w:val="16"/>
              </w:rPr>
              <w:t>ngi), infrastrukturę sportową i </w:t>
            </w:r>
            <w:r w:rsidRPr="00B73203">
              <w:rPr>
                <w:sz w:val="16"/>
                <w:szCs w:val="16"/>
              </w:rPr>
              <w:t>rekreacyj</w:t>
            </w:r>
            <w:r w:rsidR="007A287A">
              <w:rPr>
                <w:sz w:val="16"/>
                <w:szCs w:val="16"/>
              </w:rPr>
              <w:t>ną, ani inwestycji związanych z </w:t>
            </w:r>
            <w:r w:rsidRPr="00B73203">
              <w:rPr>
                <w:sz w:val="16"/>
                <w:szCs w:val="16"/>
              </w:rPr>
              <w:t>budynkami służącymi funkcjom administracyjno-zarządczym.</w:t>
            </w:r>
          </w:p>
        </w:tc>
        <w:tc>
          <w:tcPr>
            <w:tcW w:w="1417" w:type="dxa"/>
          </w:tcPr>
          <w:p w14:paraId="2100E24A" w14:textId="7F26B13C" w:rsidR="009E36EA" w:rsidRPr="0039208B" w:rsidRDefault="0001741E" w:rsidP="00015371">
            <w:pPr>
              <w:pStyle w:val="Akapitzlist"/>
              <w:ind w:left="0"/>
              <w:rPr>
                <w:sz w:val="16"/>
                <w:szCs w:val="16"/>
              </w:rPr>
            </w:pPr>
            <w:r w:rsidRPr="00956BBA">
              <w:rPr>
                <w:sz w:val="16"/>
                <w:szCs w:val="16"/>
              </w:rPr>
              <w:t>FEM 2021-2027, CS 5i</w:t>
            </w:r>
            <w:r>
              <w:rPr>
                <w:sz w:val="16"/>
                <w:szCs w:val="16"/>
              </w:rPr>
              <w:t xml:space="preserve">, </w:t>
            </w:r>
            <w:r w:rsidRPr="009022B2">
              <w:rPr>
                <w:sz w:val="16"/>
                <w:szCs w:val="16"/>
              </w:rPr>
              <w:t>Działanie FEMP.07.01 IIT - Wsparcie oddolnych inicjatyw na obszarach miejskich</w:t>
            </w:r>
            <w:r>
              <w:rPr>
                <w:sz w:val="16"/>
                <w:szCs w:val="16"/>
              </w:rPr>
              <w:t xml:space="preserve">, Typ projektu </w:t>
            </w:r>
            <w:r w:rsidRPr="009022B2">
              <w:rPr>
                <w:sz w:val="16"/>
                <w:szCs w:val="16"/>
              </w:rPr>
              <w:t>A. Infrastruktura kultury</w:t>
            </w:r>
          </w:p>
        </w:tc>
        <w:tc>
          <w:tcPr>
            <w:tcW w:w="1134" w:type="dxa"/>
          </w:tcPr>
          <w:p w14:paraId="39F5F764" w14:textId="41315BBC" w:rsidR="009E36EA" w:rsidRPr="0039208B" w:rsidRDefault="00DD7070" w:rsidP="00015371">
            <w:pPr>
              <w:pStyle w:val="Akapitzlist"/>
              <w:ind w:left="0"/>
              <w:rPr>
                <w:sz w:val="16"/>
                <w:szCs w:val="16"/>
              </w:rPr>
            </w:pPr>
            <w:r>
              <w:rPr>
                <w:sz w:val="16"/>
                <w:szCs w:val="16"/>
              </w:rPr>
              <w:t>789 504,24</w:t>
            </w:r>
          </w:p>
        </w:tc>
        <w:tc>
          <w:tcPr>
            <w:tcW w:w="968" w:type="dxa"/>
          </w:tcPr>
          <w:p w14:paraId="2C208E3F" w14:textId="43E25C51" w:rsidR="009E36EA" w:rsidRPr="0039208B" w:rsidRDefault="00A471E6" w:rsidP="00015371">
            <w:pPr>
              <w:pStyle w:val="Akapitzlist"/>
              <w:ind w:left="0"/>
              <w:rPr>
                <w:sz w:val="16"/>
                <w:szCs w:val="16"/>
              </w:rPr>
            </w:pPr>
            <w:r>
              <w:rPr>
                <w:sz w:val="16"/>
                <w:szCs w:val="16"/>
              </w:rPr>
              <w:t>2025-2027</w:t>
            </w:r>
          </w:p>
        </w:tc>
        <w:tc>
          <w:tcPr>
            <w:tcW w:w="2977" w:type="dxa"/>
          </w:tcPr>
          <w:p w14:paraId="74DD4194" w14:textId="1F1A35C4" w:rsidR="002C432A" w:rsidRDefault="002C432A" w:rsidP="002C432A">
            <w:pPr>
              <w:pStyle w:val="Akapitzlist"/>
              <w:ind w:left="0"/>
              <w:rPr>
                <w:sz w:val="16"/>
                <w:szCs w:val="16"/>
              </w:rPr>
            </w:pPr>
            <w:r>
              <w:rPr>
                <w:sz w:val="16"/>
                <w:szCs w:val="16"/>
              </w:rPr>
              <w:t xml:space="preserve">Projekt jest powiązany z projektem nr 4 ze względu na fakt, iż oba skupione są na rozwoju </w:t>
            </w:r>
            <w:r w:rsidR="007A287A">
              <w:rPr>
                <w:sz w:val="16"/>
                <w:szCs w:val="16"/>
              </w:rPr>
              <w:t>oferty kulturalnej OF Olkusza i </w:t>
            </w:r>
            <w:r>
              <w:rPr>
                <w:sz w:val="16"/>
                <w:szCs w:val="16"/>
              </w:rPr>
              <w:t>podnoszeniu poziomu jej dostępności.</w:t>
            </w:r>
          </w:p>
          <w:p w14:paraId="6729C87E" w14:textId="77777777" w:rsidR="002C432A" w:rsidRDefault="002C432A" w:rsidP="002C432A">
            <w:pPr>
              <w:pStyle w:val="Akapitzlist"/>
              <w:ind w:left="0"/>
              <w:rPr>
                <w:sz w:val="16"/>
                <w:szCs w:val="16"/>
              </w:rPr>
            </w:pPr>
          </w:p>
          <w:p w14:paraId="48FD822F" w14:textId="77777777" w:rsidR="002C432A" w:rsidRDefault="002C432A" w:rsidP="002C432A">
            <w:pPr>
              <w:pStyle w:val="Akapitzlist"/>
              <w:ind w:left="0"/>
              <w:rPr>
                <w:sz w:val="16"/>
                <w:szCs w:val="16"/>
              </w:rPr>
            </w:pPr>
            <w:r>
              <w:rPr>
                <w:sz w:val="16"/>
                <w:szCs w:val="16"/>
              </w:rPr>
              <w:t xml:space="preserve">Projekt jest również związany z projektem nr 3, który przestrzennie i funkcjonalnie  integruje zasoby historyczno-kulturowe OF Olkusza, stanowiące również element oferty kulturalnej. </w:t>
            </w:r>
          </w:p>
          <w:p w14:paraId="77FDD555" w14:textId="77777777" w:rsidR="009E36EA" w:rsidRPr="0039208B" w:rsidRDefault="009E36EA" w:rsidP="00015371">
            <w:pPr>
              <w:pStyle w:val="Akapitzlist"/>
              <w:ind w:left="0"/>
              <w:rPr>
                <w:sz w:val="16"/>
                <w:szCs w:val="16"/>
              </w:rPr>
            </w:pPr>
          </w:p>
        </w:tc>
      </w:tr>
    </w:tbl>
    <w:p w14:paraId="3356B919" w14:textId="3CABABF1" w:rsidR="00463E2C" w:rsidRPr="00C61C91" w:rsidRDefault="00C61C91" w:rsidP="00C61C91">
      <w:pPr>
        <w:sectPr w:rsidR="00463E2C" w:rsidRPr="00C61C91" w:rsidSect="00463E2C">
          <w:pgSz w:w="23814" w:h="16840" w:orient="landscape" w:code="8"/>
          <w:pgMar w:top="1418" w:right="1418" w:bottom="1418" w:left="1418" w:header="709" w:footer="709" w:gutter="0"/>
          <w:cols w:space="708"/>
          <w:docGrid w:linePitch="360"/>
        </w:sectPr>
      </w:pPr>
      <w:r w:rsidRPr="00C61C91">
        <w:t xml:space="preserve">* Przyjęto kurs </w:t>
      </w:r>
      <w:r w:rsidR="00981653">
        <w:t>1 EUR=4,3065</w:t>
      </w:r>
      <w:r w:rsidRPr="00C61C91">
        <w:t>.</w:t>
      </w:r>
    </w:p>
    <w:p w14:paraId="3A239014" w14:textId="0ADED8FC" w:rsidR="009F2E80" w:rsidRPr="00CE3E1D" w:rsidRDefault="009B1037" w:rsidP="00CE3E1D">
      <w:pPr>
        <w:pStyle w:val="Nagwek1"/>
      </w:pPr>
      <w:bookmarkStart w:id="18" w:name="_Toc181691581"/>
      <w:r>
        <w:t xml:space="preserve">4. </w:t>
      </w:r>
      <w:r w:rsidR="009F2E80">
        <w:t>Wdrażanie i realizacja Strategii</w:t>
      </w:r>
      <w:bookmarkEnd w:id="18"/>
    </w:p>
    <w:p w14:paraId="015B1C83" w14:textId="2236E356" w:rsidR="009F2E80" w:rsidRDefault="009B1037" w:rsidP="009F2E80">
      <w:pPr>
        <w:pStyle w:val="Nagwek2"/>
      </w:pPr>
      <w:bookmarkStart w:id="19" w:name="_Toc181691582"/>
      <w:r>
        <w:t xml:space="preserve">4.1 </w:t>
      </w:r>
      <w:r w:rsidR="009F2E80">
        <w:t>System zarządzania</w:t>
      </w:r>
      <w:bookmarkEnd w:id="19"/>
    </w:p>
    <w:p w14:paraId="1F617C33" w14:textId="77777777" w:rsidR="00C01C1D" w:rsidRDefault="002C3C1C" w:rsidP="00C01C1D">
      <w:pPr>
        <w:spacing w:line="360" w:lineRule="auto"/>
        <w:jc w:val="both"/>
      </w:pPr>
      <w:r>
        <w:t>Zgodnie z założeniami i</w:t>
      </w:r>
      <w:r w:rsidR="00C01C1D">
        <w:t>nstrumentów terytorialnych w ramach programu Fundusze Europejskie dla Małopolski 2021-2027</w:t>
      </w:r>
      <w:r w:rsidR="00C01C1D">
        <w:rPr>
          <w:rStyle w:val="Odwoanieprzypisudolnego"/>
        </w:rPr>
        <w:footnoteReference w:id="10"/>
      </w:r>
      <w:r w:rsidR="00C01C1D">
        <w:t>, d</w:t>
      </w:r>
      <w:r w:rsidR="00C01C1D" w:rsidRPr="00AA25C0">
        <w:t xml:space="preserve">o podstawowych kompetencji władz miejskich w odniesieniu do narzędzia IIT </w:t>
      </w:r>
      <w:r w:rsidR="00C01C1D">
        <w:t>należy</w:t>
      </w:r>
      <w:r w:rsidR="00C01C1D" w:rsidRPr="00AA25C0">
        <w:t xml:space="preserve"> nawiązanie współpracy międzygminnej w celu przygotowania strategii IIT</w:t>
      </w:r>
      <w:r w:rsidR="00C01C1D">
        <w:t xml:space="preserve">, </w:t>
      </w:r>
      <w:r w:rsidR="00C01C1D" w:rsidRPr="00D5764D">
        <w:t xml:space="preserve">zawiązanie formalnej współpracy z gminami wchodzącymi w skład instrumentu w formie wymaganej prawem, przygotowanie strategii IIT, zaangażowanie partnerów społecznych w jej opiniowanie oraz uzgodnienie listy projektów realizujących cele strategii, co będzie równoznaczne z </w:t>
      </w:r>
      <w:r>
        <w:t xml:space="preserve">ich </w:t>
      </w:r>
      <w:r w:rsidR="00C01C1D" w:rsidRPr="00D5764D">
        <w:t>udziałem w wyborze projektów.</w:t>
      </w:r>
    </w:p>
    <w:p w14:paraId="79E66340" w14:textId="77777777" w:rsidR="007F6DB8" w:rsidRPr="007F6DB8" w:rsidRDefault="007F6DB8" w:rsidP="004B6174">
      <w:pPr>
        <w:spacing w:after="0" w:line="360" w:lineRule="auto"/>
        <w:jc w:val="both"/>
        <w:rPr>
          <w:b/>
        </w:rPr>
      </w:pPr>
      <w:r w:rsidRPr="007F6DB8">
        <w:rPr>
          <w:b/>
        </w:rPr>
        <w:t xml:space="preserve">Podstawa przygotowania i </w:t>
      </w:r>
      <w:r>
        <w:rPr>
          <w:b/>
        </w:rPr>
        <w:t xml:space="preserve">realizacji </w:t>
      </w:r>
      <w:r w:rsidRPr="007F6DB8">
        <w:rPr>
          <w:b/>
        </w:rPr>
        <w:t>Strategii</w:t>
      </w:r>
    </w:p>
    <w:p w14:paraId="167A98D5" w14:textId="77777777" w:rsidR="002C3C1C" w:rsidRDefault="00C01C1D" w:rsidP="00D1516D">
      <w:pPr>
        <w:spacing w:line="360" w:lineRule="auto"/>
        <w:jc w:val="both"/>
      </w:pPr>
      <w:r>
        <w:t>Podstawą do przygotowania i wdrożenia</w:t>
      </w:r>
      <w:r w:rsidR="002C3C1C">
        <w:t xml:space="preserve"> Strategii</w:t>
      </w:r>
      <w:r w:rsidR="002C3C1C" w:rsidRPr="009F2E80">
        <w:t xml:space="preserve"> Innego Instrumentu Terytorialnego dla obszarów Gminy Olkusz, Gminy Klucze i Gminy Bolesław</w:t>
      </w:r>
      <w:r w:rsidR="002C3C1C">
        <w:t xml:space="preserve"> jest Porozumienie międzygminne z dnia 3 października 2024 roku określające zasady współpracy przy opracowaniu i realizacji przez jednostki samorządu terytorialnego Innych Instrumentów Terytorialnych. W ramach Porozumienia, strony podjęły współpracę mającą na celu nie tylko opracowanie strategii terytorialnej</w:t>
      </w:r>
      <w:r w:rsidR="002F74EC">
        <w:t xml:space="preserve"> i wspólne wdrażanie jej założeń, ale również promowania partnerskiego modelu współpracy jednostek samorządu terytorialnego tworzących Partnerstwo. </w:t>
      </w:r>
    </w:p>
    <w:p w14:paraId="7845E7EF" w14:textId="77777777" w:rsidR="00A735E8" w:rsidRDefault="00A735E8" w:rsidP="00D1516D">
      <w:pPr>
        <w:spacing w:line="360" w:lineRule="auto"/>
        <w:jc w:val="both"/>
      </w:pPr>
      <w:r>
        <w:t>Strony Porozumienia zobowiązały się samodzielnie lub w partnerstwie realizować projekty w ramach Strategii wykorzystania IIT</w:t>
      </w:r>
      <w:r w:rsidR="003D6AF1">
        <w:t>. Szczegółowe zasady współpracy w przypadku uruchomienia instrumentu IIT oraz zasady rozliczeń finansowych projektów realizowanych w ramach IIT lub z innych źródeł dofinansowania projektów będą każdorazowo przedmiotem dalszych ustaleń pomiędzy Stronami Porozumienia.</w:t>
      </w:r>
    </w:p>
    <w:p w14:paraId="2CDFC3BF" w14:textId="77777777" w:rsidR="007F6DB8" w:rsidRPr="007F6DB8" w:rsidRDefault="007F6DB8" w:rsidP="004B6174">
      <w:pPr>
        <w:spacing w:after="0" w:line="360" w:lineRule="auto"/>
        <w:jc w:val="both"/>
        <w:rPr>
          <w:b/>
        </w:rPr>
      </w:pPr>
      <w:r w:rsidRPr="007F6DB8">
        <w:rPr>
          <w:b/>
        </w:rPr>
        <w:t>Kompetencje Lidera i Stron</w:t>
      </w:r>
    </w:p>
    <w:p w14:paraId="1F653D0C" w14:textId="77777777" w:rsidR="002F74EC" w:rsidRDefault="002F74EC" w:rsidP="004B6174">
      <w:pPr>
        <w:spacing w:line="360" w:lineRule="auto"/>
        <w:jc w:val="both"/>
      </w:pPr>
      <w:r>
        <w:t>Liderem Porozumienia jest Miasto Olkusz, któremu Strony Partnerstwa powierzyły kompetencje do koordynacji zadań w zakresie opracowania i wdrażania IIT. Lider Porozumienia jest uprawniony do występowania w imieniu wszystkich Stron Porozumienia w procesie negocjacji, ustanawiania i realizacji instrumentu IIT wobec innych podmiotów.</w:t>
      </w:r>
    </w:p>
    <w:p w14:paraId="09E3B3DA" w14:textId="77777777" w:rsidR="002F74EC" w:rsidRDefault="002F74EC" w:rsidP="007A287A">
      <w:pPr>
        <w:jc w:val="both"/>
      </w:pPr>
      <w:r w:rsidRPr="002F74EC">
        <w:t>Do kompetencji Lidera Porozumienia należą:</w:t>
      </w:r>
    </w:p>
    <w:p w14:paraId="7F777866" w14:textId="69AD154F" w:rsidR="002F74EC" w:rsidRDefault="002F74EC" w:rsidP="007A287A">
      <w:pPr>
        <w:pStyle w:val="Akapitzlist"/>
        <w:numPr>
          <w:ilvl w:val="0"/>
          <w:numId w:val="13"/>
        </w:numPr>
        <w:spacing w:line="360" w:lineRule="auto"/>
        <w:jc w:val="both"/>
      </w:pPr>
      <w:r>
        <w:t>udział w programowaniu nowej perspektywy finansowej 2021-2027,</w:t>
      </w:r>
    </w:p>
    <w:p w14:paraId="2552E8D4" w14:textId="578C4A62" w:rsidR="002F74EC" w:rsidRDefault="002F74EC" w:rsidP="007A287A">
      <w:pPr>
        <w:pStyle w:val="Akapitzlist"/>
        <w:numPr>
          <w:ilvl w:val="0"/>
          <w:numId w:val="13"/>
        </w:numPr>
        <w:spacing w:line="360" w:lineRule="auto"/>
        <w:jc w:val="both"/>
      </w:pPr>
      <w:r>
        <w:t>programowanie, negocjowanie i koordynacja przygotowania dokumentu strategicznego czyli projektu Strategii IIT zgodnie z obowiązującymi przepisami prawa,</w:t>
      </w:r>
    </w:p>
    <w:p w14:paraId="78BAC595" w14:textId="059BFBFA" w:rsidR="002F74EC" w:rsidRDefault="002F74EC" w:rsidP="007A287A">
      <w:pPr>
        <w:pStyle w:val="Akapitzlist"/>
        <w:numPr>
          <w:ilvl w:val="0"/>
          <w:numId w:val="13"/>
        </w:numPr>
        <w:spacing w:line="360" w:lineRule="auto"/>
        <w:jc w:val="both"/>
      </w:pPr>
      <w:r>
        <w:t>reprezentowanie Stron Porozumienia podczas wszelkich prowadzonych negocjacji oraz zawierania porozumień z Instytucją Zarządzającą,</w:t>
      </w:r>
    </w:p>
    <w:p w14:paraId="303AEAA7" w14:textId="4925F390" w:rsidR="002F74EC" w:rsidRDefault="002F74EC" w:rsidP="007A287A">
      <w:pPr>
        <w:pStyle w:val="Akapitzlist"/>
        <w:numPr>
          <w:ilvl w:val="0"/>
          <w:numId w:val="13"/>
        </w:numPr>
        <w:spacing w:line="360" w:lineRule="auto"/>
        <w:jc w:val="both"/>
      </w:pPr>
      <w:r>
        <w:t>zapewnienie udziału Partnerów Porozumienia w podejmowaniu decyzji i realizacji zadań, na zasadach określonych przez Strony Porozumienia,</w:t>
      </w:r>
    </w:p>
    <w:p w14:paraId="5F48D684" w14:textId="2F6ABFC1" w:rsidR="002F74EC" w:rsidRDefault="002F74EC" w:rsidP="007A287A">
      <w:pPr>
        <w:pStyle w:val="Akapitzlist"/>
        <w:numPr>
          <w:ilvl w:val="0"/>
          <w:numId w:val="13"/>
        </w:numPr>
        <w:spacing w:line="360" w:lineRule="auto"/>
        <w:jc w:val="both"/>
      </w:pPr>
      <w:r>
        <w:t>pozyskiwanie, gromadzenie i archiwizacja dokumentacji związanej z realizacją zadań partnerstwa,</w:t>
      </w:r>
    </w:p>
    <w:p w14:paraId="085A7B98" w14:textId="45F02976" w:rsidR="002F74EC" w:rsidRDefault="002F74EC" w:rsidP="007A287A">
      <w:pPr>
        <w:pStyle w:val="Akapitzlist"/>
        <w:numPr>
          <w:ilvl w:val="0"/>
          <w:numId w:val="13"/>
        </w:numPr>
        <w:spacing w:line="360" w:lineRule="auto"/>
        <w:jc w:val="both"/>
      </w:pPr>
      <w:r>
        <w:t>podejmowanie działań zgodnie z obowiązującymi przepisami prawa,</w:t>
      </w:r>
    </w:p>
    <w:p w14:paraId="12443071" w14:textId="04FB4B9E" w:rsidR="002F74EC" w:rsidRDefault="002F74EC" w:rsidP="007A287A">
      <w:pPr>
        <w:pStyle w:val="Akapitzlist"/>
        <w:numPr>
          <w:ilvl w:val="0"/>
          <w:numId w:val="13"/>
        </w:numPr>
        <w:spacing w:line="360" w:lineRule="auto"/>
        <w:jc w:val="both"/>
      </w:pPr>
      <w:r>
        <w:t>inne czynności niezbędne do realizacji IIT, uzgodnione w toku wdrażania IIT przez wszystkie Strony Porozumienia.</w:t>
      </w:r>
    </w:p>
    <w:p w14:paraId="5D0317B2" w14:textId="77777777" w:rsidR="002F74EC" w:rsidRDefault="002F74EC" w:rsidP="007A287A">
      <w:pPr>
        <w:jc w:val="both"/>
      </w:pPr>
      <w:r w:rsidRPr="002F74EC">
        <w:t xml:space="preserve">Partnerzy Porozumienia </w:t>
      </w:r>
      <w:r>
        <w:t>zobowiązali</w:t>
      </w:r>
      <w:r w:rsidRPr="002F74EC">
        <w:t xml:space="preserve"> się </w:t>
      </w:r>
      <w:r>
        <w:t xml:space="preserve">natomiast </w:t>
      </w:r>
      <w:r w:rsidRPr="002F74EC">
        <w:t>w szczególności do:</w:t>
      </w:r>
    </w:p>
    <w:p w14:paraId="5AB0EDCA" w14:textId="4CB3732C" w:rsidR="002F74EC" w:rsidRDefault="002F74EC" w:rsidP="007A287A">
      <w:pPr>
        <w:pStyle w:val="Akapitzlist"/>
        <w:numPr>
          <w:ilvl w:val="0"/>
          <w:numId w:val="15"/>
        </w:numPr>
        <w:spacing w:line="360" w:lineRule="auto"/>
        <w:jc w:val="both"/>
      </w:pPr>
      <w:r>
        <w:t>aktywnej współpracy w ramach Porozumienia,</w:t>
      </w:r>
    </w:p>
    <w:p w14:paraId="509F4E53" w14:textId="53DA9ED3" w:rsidR="002F74EC" w:rsidRDefault="002F74EC" w:rsidP="007A287A">
      <w:pPr>
        <w:pStyle w:val="Akapitzlist"/>
        <w:numPr>
          <w:ilvl w:val="0"/>
          <w:numId w:val="15"/>
        </w:numPr>
        <w:spacing w:line="360" w:lineRule="auto"/>
        <w:jc w:val="both"/>
      </w:pPr>
      <w:r>
        <w:t>wskazania swoich przedstawicieli do kontaktu i współpracy na potrzeby programowania, negocjowania i przygotowania dokumentów strategicznych oraz wszelkich innych dokumentów niezbędnych do wdrożenia i realizacji IIT w ramach perspektywy finansowej 2021-2027,</w:t>
      </w:r>
    </w:p>
    <w:p w14:paraId="0A8CAE3B" w14:textId="374BAC71" w:rsidR="002F74EC" w:rsidRDefault="002F74EC" w:rsidP="007A287A">
      <w:pPr>
        <w:pStyle w:val="Akapitzlist"/>
        <w:numPr>
          <w:ilvl w:val="0"/>
          <w:numId w:val="15"/>
        </w:numPr>
        <w:spacing w:line="360" w:lineRule="auto"/>
        <w:jc w:val="both"/>
      </w:pPr>
      <w:r>
        <w:t>pełnej współpracy z Wykonawcą projektu Strategii IIT,</w:t>
      </w:r>
    </w:p>
    <w:p w14:paraId="5204CC5F" w14:textId="2271EC07" w:rsidR="002F74EC" w:rsidRDefault="002F74EC" w:rsidP="007A287A">
      <w:pPr>
        <w:pStyle w:val="Akapitzlist"/>
        <w:numPr>
          <w:ilvl w:val="0"/>
          <w:numId w:val="15"/>
        </w:numPr>
        <w:spacing w:line="360" w:lineRule="auto"/>
        <w:jc w:val="both"/>
      </w:pPr>
      <w:r>
        <w:t xml:space="preserve">informowania Lidera Porozumienia o przypadkach, które </w:t>
      </w:r>
      <w:r w:rsidR="007A287A">
        <w:t>mogą mieć wpływ na prawidłową i </w:t>
      </w:r>
      <w:r>
        <w:t>terminową realizacją działań,</w:t>
      </w:r>
    </w:p>
    <w:p w14:paraId="1D214888" w14:textId="63646B2B" w:rsidR="002F74EC" w:rsidRDefault="002F74EC" w:rsidP="007A287A">
      <w:pPr>
        <w:pStyle w:val="Akapitzlist"/>
        <w:numPr>
          <w:ilvl w:val="0"/>
          <w:numId w:val="15"/>
        </w:numPr>
        <w:spacing w:line="360" w:lineRule="auto"/>
        <w:jc w:val="both"/>
      </w:pPr>
      <w:r>
        <w:t>udziału w zorganizowanych spotkaniach związanych z realizacją działań,</w:t>
      </w:r>
    </w:p>
    <w:p w14:paraId="20E85217" w14:textId="0BBB1C9F" w:rsidR="002F74EC" w:rsidRDefault="002F74EC" w:rsidP="007A287A">
      <w:pPr>
        <w:pStyle w:val="Akapitzlist"/>
        <w:numPr>
          <w:ilvl w:val="0"/>
          <w:numId w:val="15"/>
        </w:numPr>
        <w:spacing w:line="360" w:lineRule="auto"/>
        <w:jc w:val="both"/>
      </w:pPr>
      <w:r>
        <w:t>stosowania przyjętego systemu prze</w:t>
      </w:r>
      <w:r w:rsidR="007A287A">
        <w:t xml:space="preserve">pływu informacji i komunikacji </w:t>
      </w:r>
      <w:r>
        <w:t>oraz zapewnienia sprawnego systemu komunikacji między Stronami Porozumienia,</w:t>
      </w:r>
    </w:p>
    <w:p w14:paraId="0BA1F72D" w14:textId="72599502" w:rsidR="002F74EC" w:rsidRDefault="002F74EC" w:rsidP="007A287A">
      <w:pPr>
        <w:pStyle w:val="Akapitzlist"/>
        <w:numPr>
          <w:ilvl w:val="0"/>
          <w:numId w:val="15"/>
        </w:numPr>
        <w:spacing w:line="360" w:lineRule="auto"/>
        <w:jc w:val="both"/>
      </w:pPr>
      <w:r>
        <w:t>nieodpłatnego udostępniania sal i pomieszczeń w celu przeprowadzenia spotkań, konsultacji społecznych i innych czynności związanych z wdrożeniem IIT,</w:t>
      </w:r>
    </w:p>
    <w:p w14:paraId="5F944360" w14:textId="7DAFC046" w:rsidR="002F74EC" w:rsidRDefault="002F74EC" w:rsidP="007A287A">
      <w:pPr>
        <w:pStyle w:val="Akapitzlist"/>
        <w:numPr>
          <w:ilvl w:val="0"/>
          <w:numId w:val="15"/>
        </w:numPr>
        <w:spacing w:line="360" w:lineRule="auto"/>
        <w:jc w:val="both"/>
      </w:pPr>
      <w:r>
        <w:t>podejmowania działań zgodnie z obowiązującymi przepisami prawa,</w:t>
      </w:r>
    </w:p>
    <w:p w14:paraId="55E9A565" w14:textId="1C0263BE" w:rsidR="002F74EC" w:rsidRDefault="002F74EC" w:rsidP="007A287A">
      <w:pPr>
        <w:pStyle w:val="Akapitzlist"/>
        <w:numPr>
          <w:ilvl w:val="0"/>
          <w:numId w:val="15"/>
        </w:numPr>
        <w:spacing w:line="360" w:lineRule="auto"/>
        <w:jc w:val="both"/>
      </w:pPr>
      <w:r>
        <w:t>wsparcia pozostałych Partnerów Porozumienia w realizacji powierzonych zadań,</w:t>
      </w:r>
    </w:p>
    <w:p w14:paraId="7F7B06A1" w14:textId="017104BF" w:rsidR="002F74EC" w:rsidRDefault="002F74EC" w:rsidP="007A287A">
      <w:pPr>
        <w:pStyle w:val="Akapitzlist"/>
        <w:numPr>
          <w:ilvl w:val="0"/>
          <w:numId w:val="15"/>
        </w:numPr>
        <w:spacing w:line="360" w:lineRule="auto"/>
        <w:jc w:val="both"/>
      </w:pPr>
      <w:r>
        <w:t>pozyskiwania, gromadzenia i archiwizacji dokumentacji związanej z realizacją zadań partnerstwa,</w:t>
      </w:r>
    </w:p>
    <w:p w14:paraId="6611598A" w14:textId="14E14A29" w:rsidR="004B6174" w:rsidRDefault="002F74EC" w:rsidP="007A287A">
      <w:pPr>
        <w:pStyle w:val="Akapitzlist"/>
        <w:numPr>
          <w:ilvl w:val="0"/>
          <w:numId w:val="15"/>
        </w:numPr>
        <w:spacing w:line="360" w:lineRule="auto"/>
        <w:jc w:val="both"/>
      </w:pPr>
      <w:r>
        <w:t>podejmowania i realizacji innych czynności, jeśli okażą się one niezbędne w celu prawidłowej realizacji działań.</w:t>
      </w:r>
      <w:r>
        <w:cr/>
      </w:r>
      <w:r w:rsidR="004B6174">
        <w:br w:type="page"/>
      </w:r>
    </w:p>
    <w:p w14:paraId="2DBA40C1" w14:textId="42A50283" w:rsidR="007F6DB8" w:rsidRDefault="007F6DB8" w:rsidP="009F79F5">
      <w:pPr>
        <w:spacing w:before="240" w:after="0"/>
      </w:pPr>
      <w:r w:rsidRPr="007F6DB8">
        <w:rPr>
          <w:b/>
        </w:rPr>
        <w:t>Zespół Operacyjny</w:t>
      </w:r>
    </w:p>
    <w:p w14:paraId="5D53061A" w14:textId="77777777" w:rsidR="002F74EC" w:rsidRDefault="002F74EC" w:rsidP="004B6174">
      <w:pPr>
        <w:spacing w:before="240" w:after="0" w:line="360" w:lineRule="auto"/>
        <w:jc w:val="both"/>
      </w:pPr>
      <w:r>
        <w:t>Na potrzeby realizacji Strategii IIT stworzono Zespół Operacyjny. Jest to roboczy podmiot odpowiedzialny za wdrożenie i realizację instrumentu IIT, w tym przygotowanie wszelkich niezbędnych dokumentów z tym związanych.</w:t>
      </w:r>
    </w:p>
    <w:p w14:paraId="551DF30E" w14:textId="77777777" w:rsidR="002F74EC" w:rsidRDefault="002F74EC" w:rsidP="004B6174">
      <w:pPr>
        <w:spacing w:before="240" w:after="0" w:line="360" w:lineRule="auto"/>
        <w:jc w:val="both"/>
      </w:pPr>
      <w:r>
        <w:t>W skład zespołu operacyjnego wchodzą wyznaczeni przez Strony Porozumienia przedstawiciele, którzy biorą udział w programowaniu i wdrażaniu projektów w ramach Innych Instrumentów Terytorialnych.</w:t>
      </w:r>
    </w:p>
    <w:p w14:paraId="7902313B" w14:textId="77777777" w:rsidR="002F74EC" w:rsidRDefault="002F74EC" w:rsidP="007A287A">
      <w:pPr>
        <w:spacing w:before="240" w:after="0" w:line="360" w:lineRule="auto"/>
        <w:jc w:val="both"/>
      </w:pPr>
      <w:r>
        <w:t>Do zadań zespołu operacyjnego należą w szczególności:</w:t>
      </w:r>
    </w:p>
    <w:p w14:paraId="642799C5" w14:textId="3033A8C4" w:rsidR="002F74EC" w:rsidRDefault="002F74EC" w:rsidP="007A287A">
      <w:pPr>
        <w:pStyle w:val="Akapitzlist"/>
        <w:numPr>
          <w:ilvl w:val="0"/>
          <w:numId w:val="18"/>
        </w:numPr>
        <w:spacing w:line="360" w:lineRule="auto"/>
        <w:jc w:val="both"/>
      </w:pPr>
      <w:r>
        <w:t>koordynacja opracowania projektów realizowanych w ramach IIT,</w:t>
      </w:r>
    </w:p>
    <w:p w14:paraId="5E4305CA" w14:textId="1D7FA11A" w:rsidR="002F74EC" w:rsidRDefault="002F74EC" w:rsidP="007A287A">
      <w:pPr>
        <w:pStyle w:val="Akapitzlist"/>
        <w:numPr>
          <w:ilvl w:val="0"/>
          <w:numId w:val="18"/>
        </w:numPr>
        <w:spacing w:line="360" w:lineRule="auto"/>
        <w:jc w:val="both"/>
      </w:pPr>
      <w:r>
        <w:t>koordynacja współpracy między Stronami Porozumienia,</w:t>
      </w:r>
    </w:p>
    <w:p w14:paraId="4C41ED73" w14:textId="580EA782" w:rsidR="002F74EC" w:rsidRDefault="002F74EC" w:rsidP="007A287A">
      <w:pPr>
        <w:pStyle w:val="Akapitzlist"/>
        <w:numPr>
          <w:ilvl w:val="0"/>
          <w:numId w:val="18"/>
        </w:numPr>
        <w:spacing w:line="360" w:lineRule="auto"/>
        <w:jc w:val="both"/>
      </w:pPr>
      <w:r>
        <w:t>koordynacja i realizacja działań promocyjnych w ramach projektów oraz zapewnienie komplementarności realizowanych zadań,</w:t>
      </w:r>
    </w:p>
    <w:p w14:paraId="183F312B" w14:textId="751240EA" w:rsidR="002F74EC" w:rsidRDefault="002F74EC" w:rsidP="007A287A">
      <w:pPr>
        <w:pStyle w:val="Akapitzlist"/>
        <w:numPr>
          <w:ilvl w:val="0"/>
          <w:numId w:val="18"/>
        </w:numPr>
        <w:spacing w:line="360" w:lineRule="auto"/>
        <w:jc w:val="both"/>
      </w:pPr>
      <w:r>
        <w:t>monitorowanie wdrażania Strategii IIT,</w:t>
      </w:r>
    </w:p>
    <w:p w14:paraId="4B4DF0AC" w14:textId="1F9F693D" w:rsidR="002F74EC" w:rsidRDefault="002F74EC" w:rsidP="007A287A">
      <w:pPr>
        <w:pStyle w:val="Akapitzlist"/>
        <w:numPr>
          <w:ilvl w:val="0"/>
          <w:numId w:val="18"/>
        </w:numPr>
        <w:spacing w:line="360" w:lineRule="auto"/>
        <w:jc w:val="both"/>
      </w:pPr>
      <w:r>
        <w:t>bieżący kontakt z innymi instytucjami zaangażowanymi w opracowanie Strategii IIT,</w:t>
      </w:r>
    </w:p>
    <w:p w14:paraId="0816DD37" w14:textId="189F30D2" w:rsidR="002F74EC" w:rsidRDefault="002F74EC" w:rsidP="007A287A">
      <w:pPr>
        <w:pStyle w:val="Akapitzlist"/>
        <w:numPr>
          <w:ilvl w:val="0"/>
          <w:numId w:val="18"/>
        </w:numPr>
        <w:spacing w:line="360" w:lineRule="auto"/>
        <w:jc w:val="both"/>
      </w:pPr>
      <w:r>
        <w:t>prowadzenie działań informacyjnych i konsultacyjnych skierowanych do interesariuszy.</w:t>
      </w:r>
    </w:p>
    <w:p w14:paraId="70313B94" w14:textId="762539B0" w:rsidR="002F74EC" w:rsidRDefault="002F74EC" w:rsidP="004B6174">
      <w:pPr>
        <w:spacing w:before="240" w:after="0" w:line="360" w:lineRule="auto"/>
        <w:jc w:val="both"/>
      </w:pPr>
      <w:r w:rsidRPr="002F74EC">
        <w:t>Pracami zespołu operacyjnego kieruje Lider Porozumienia</w:t>
      </w:r>
      <w:r>
        <w:t>.</w:t>
      </w:r>
      <w:r w:rsidR="00817973" w:rsidRPr="00817973">
        <w:t xml:space="preserve"> Członkowie </w:t>
      </w:r>
      <w:r w:rsidR="00817973">
        <w:t>Zespołu Operacyjnego</w:t>
      </w:r>
      <w:r w:rsidR="00817973" w:rsidRPr="00817973">
        <w:t xml:space="preserve"> aktywnie uczestniczyli w pracach nad Strategią oraz </w:t>
      </w:r>
      <w:r w:rsidR="007A287A">
        <w:t>zdefiniowaniem listy projektów zintegrowanych i </w:t>
      </w:r>
      <w:r w:rsidR="00817973" w:rsidRPr="00817973">
        <w:t>ich zakresem. Szczególną rolę w procesie opracowywania Strategii odegrał również Zespół Doradczy, co zostało opisane szczegółowo w kolejnym rozdziale.</w:t>
      </w:r>
    </w:p>
    <w:p w14:paraId="2BC78A3D" w14:textId="77777777" w:rsidR="007F6DB8" w:rsidRPr="007F6DB8" w:rsidRDefault="007F6DB8" w:rsidP="00023F75">
      <w:pPr>
        <w:spacing w:before="240" w:after="0" w:line="360" w:lineRule="auto"/>
        <w:rPr>
          <w:b/>
        </w:rPr>
      </w:pPr>
      <w:r w:rsidRPr="007F6DB8">
        <w:rPr>
          <w:b/>
        </w:rPr>
        <w:t>Przyjmowanie i zmiany Strategii</w:t>
      </w:r>
    </w:p>
    <w:p w14:paraId="210F082D" w14:textId="77777777" w:rsidR="003313A2" w:rsidRDefault="00E16459" w:rsidP="00023F75">
      <w:pPr>
        <w:spacing w:after="240" w:line="360" w:lineRule="auto"/>
        <w:jc w:val="both"/>
      </w:pPr>
      <w:r>
        <w:t xml:space="preserve">Strategia </w:t>
      </w:r>
      <w:r w:rsidR="00585CFB">
        <w:t>przejmowana jest</w:t>
      </w:r>
      <w:r>
        <w:t xml:space="preserve"> przez Rady Miasta/Gminy Partnerów Porozumienia w formie uchwały.</w:t>
      </w:r>
      <w:r w:rsidR="003313A2">
        <w:t xml:space="preserve"> </w:t>
      </w:r>
      <w:r w:rsidRPr="00E16459">
        <w:t>Zmiany Strategii dokonywane są analogicznie do procedury</w:t>
      </w:r>
      <w:r>
        <w:t xml:space="preserve"> jej zatwierdzania.</w:t>
      </w:r>
    </w:p>
    <w:p w14:paraId="58B95ACC" w14:textId="2EBC1F07" w:rsidR="009F2E80" w:rsidRDefault="009B1037" w:rsidP="003313A2">
      <w:pPr>
        <w:pStyle w:val="Nagwek2"/>
      </w:pPr>
      <w:bookmarkStart w:id="20" w:name="_Toc181691583"/>
      <w:r>
        <w:t xml:space="preserve">4.2 </w:t>
      </w:r>
      <w:r w:rsidR="009F2E80">
        <w:t>Opis procesu zaangażowania partnerów społeczno-gospodarczych</w:t>
      </w:r>
      <w:bookmarkEnd w:id="20"/>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E6F6" w:themeFill="accent6" w:themeFillTint="33"/>
        <w:tblLook w:val="04A0" w:firstRow="1" w:lastRow="0" w:firstColumn="1" w:lastColumn="0" w:noHBand="0" w:noVBand="1"/>
      </w:tblPr>
      <w:tblGrid>
        <w:gridCol w:w="9062"/>
      </w:tblGrid>
      <w:tr w:rsidR="00023F75" w:rsidRPr="004B6174" w14:paraId="76DCD07D" w14:textId="77777777" w:rsidTr="00B35C5B">
        <w:tc>
          <w:tcPr>
            <w:tcW w:w="9062" w:type="dxa"/>
            <w:shd w:val="clear" w:color="auto" w:fill="D0E6F6" w:themeFill="accent6" w:themeFillTint="33"/>
          </w:tcPr>
          <w:p w14:paraId="11BF66F0" w14:textId="17DFB8AE" w:rsidR="00023F75" w:rsidRPr="004B6174" w:rsidRDefault="00023F75" w:rsidP="00B35C5B">
            <w:pPr>
              <w:spacing w:before="120" w:after="120"/>
              <w:rPr>
                <w:i/>
              </w:rPr>
            </w:pPr>
            <w:r w:rsidRPr="00023F75">
              <w:rPr>
                <w:i/>
                <w:sz w:val="20"/>
              </w:rPr>
              <w:t>Rozdział wynika z art. 36 ust. 8 ustawy z dnia 28 kwietnia 2022 r. o zasadach realizacji zadań finansowanych ze środków europejskich w perspektywie finansowej 2021-2027 wskazującego, iż strategia IIT określa w szczególności m.in. opis procesu zaangażowania partnerów społeczno-gospodarczych oraz właściwych podmiotów reprezentujących społeczeństwo obywatelskie, podmiotów działających na rzecz ochrony środowiska oraz podmiotów odpowiedzialnych za promowanie włączenia społecznego, praw podstawowych, praw osób niepełnosprawnych, równości płci i niedyskryminacji w pracach nad przygotowaniem i wdrażaniem strategii IIT.</w:t>
            </w:r>
          </w:p>
        </w:tc>
      </w:tr>
    </w:tbl>
    <w:p w14:paraId="77C1E75B" w14:textId="6BE9CE8E" w:rsidR="008F2F82" w:rsidRDefault="002F74EC" w:rsidP="008F2F82">
      <w:pPr>
        <w:spacing w:before="240" w:line="360" w:lineRule="auto"/>
        <w:jc w:val="both"/>
      </w:pPr>
      <w:r>
        <w:t xml:space="preserve">Na podstawie </w:t>
      </w:r>
      <w:r w:rsidRPr="002F74EC">
        <w:t>§ 5</w:t>
      </w:r>
      <w:r>
        <w:t xml:space="preserve"> art. </w:t>
      </w:r>
      <w:r w:rsidR="003313A2">
        <w:t xml:space="preserve">3 </w:t>
      </w:r>
      <w:r>
        <w:t>Porozumienia</w:t>
      </w:r>
      <w:r w:rsidR="003313A2">
        <w:t xml:space="preserve"> do procesu opracowywania Strategii zostali włączeni partnerzy </w:t>
      </w:r>
      <w:r w:rsidR="00A84BE7">
        <w:t xml:space="preserve">społeczno-gospodarczy, w tym </w:t>
      </w:r>
      <w:r w:rsidR="00D87C85" w:rsidRPr="00D87C85">
        <w:t>podmiot</w:t>
      </w:r>
      <w:r w:rsidR="00D87C85">
        <w:t>y reprezentujące</w:t>
      </w:r>
      <w:r w:rsidR="00D87C85" w:rsidRPr="00D87C85">
        <w:t xml:space="preserve"> społe</w:t>
      </w:r>
      <w:r w:rsidR="00D87C85">
        <w:t>czeństwo obywatelskie, podmioty działające</w:t>
      </w:r>
      <w:r w:rsidR="00D87C85" w:rsidRPr="00D87C85">
        <w:t xml:space="preserve"> na rzecz o</w:t>
      </w:r>
      <w:r w:rsidR="00D87C85">
        <w:t>chrony środowiska oraz podmioty odpowiedzialne</w:t>
      </w:r>
      <w:r w:rsidR="00D87C85" w:rsidRPr="00D87C85">
        <w:t xml:space="preserve"> za promowanie włączenia społecznego, praw podstawowych, praw osób niepełnosprawnych, równości płci i niedyskryminacji</w:t>
      </w:r>
      <w:r w:rsidR="00D87C85">
        <w:t>.</w:t>
      </w:r>
      <w:r w:rsidR="008F2F82">
        <w:t xml:space="preserve"> W</w:t>
      </w:r>
      <w:r w:rsidR="00023F75">
        <w:t> </w:t>
      </w:r>
      <w:r w:rsidR="008F2F82">
        <w:t xml:space="preserve">celu umożliwienia partycypacji w procesie opracowywania Strategii IIT szerokiemu gronu interesariuszy, w październiku 2024 r. przeprowadzono nabór </w:t>
      </w:r>
      <w:r w:rsidR="008F2F82" w:rsidRPr="00C92008">
        <w:t xml:space="preserve">partnerów </w:t>
      </w:r>
      <w:r w:rsidR="008F2F82">
        <w:t xml:space="preserve">społeczno-gospodarczych </w:t>
      </w:r>
      <w:r w:rsidR="008F2F82" w:rsidRPr="00C92008">
        <w:t xml:space="preserve">chcących </w:t>
      </w:r>
      <w:r w:rsidR="008F2F82">
        <w:t>aktywnie uczestniczyć w pracach nad dokumentem.</w:t>
      </w:r>
      <w:r w:rsidR="008F2F82" w:rsidRPr="00C92008">
        <w:t xml:space="preserve"> Zgłoszenie akces</w:t>
      </w:r>
      <w:r w:rsidR="008F2F82">
        <w:t>u polegało na wypełnieniu i </w:t>
      </w:r>
      <w:r w:rsidR="008F2F82" w:rsidRPr="00C92008">
        <w:t>przesłaniu formularza zgłoszeniowego, w którym zawarte były pytania dotyczące obszarów działalności i okresu prowadzenia działalności, jak równi</w:t>
      </w:r>
      <w:r w:rsidR="008F2F82">
        <w:t>eż uzasadnienia chęci udziału w pracach nad Strategią.</w:t>
      </w:r>
    </w:p>
    <w:p w14:paraId="64D578C1" w14:textId="77777777" w:rsidR="008F2F82" w:rsidRDefault="008F2F82" w:rsidP="008F2F82">
      <w:r w:rsidRPr="00D11E89">
        <w:t>W rezultacie naboru, do prac nad dokumentem włączono podmioty przedstawione poniżej.</w:t>
      </w:r>
    </w:p>
    <w:tbl>
      <w:tblPr>
        <w:tblStyle w:val="Tabela-Siatka"/>
        <w:tblW w:w="9232" w:type="dxa"/>
        <w:tblInd w:w="-2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94"/>
        <w:gridCol w:w="7038"/>
      </w:tblGrid>
      <w:tr w:rsidR="00023F75" w:rsidRPr="00F8175E" w14:paraId="007726A6" w14:textId="77777777" w:rsidTr="00023F75">
        <w:tc>
          <w:tcPr>
            <w:tcW w:w="2194" w:type="dxa"/>
            <w:tcBorders>
              <w:top w:val="single" w:sz="18" w:space="0" w:color="FFFFFF" w:themeColor="background1"/>
            </w:tcBorders>
            <w:shd w:val="clear" w:color="auto" w:fill="D9D9D9" w:themeFill="background1" w:themeFillShade="D9"/>
            <w:vAlign w:val="center"/>
          </w:tcPr>
          <w:p w14:paraId="0A81DE6C" w14:textId="77777777" w:rsidR="00023F75" w:rsidRPr="00F8175E" w:rsidRDefault="00023F75" w:rsidP="00B35C5B">
            <w:pPr>
              <w:rPr>
                <w:sz w:val="20"/>
              </w:rPr>
            </w:pPr>
            <w:r w:rsidRPr="00F8175E">
              <w:rPr>
                <w:sz w:val="20"/>
              </w:rPr>
              <w:t>Nazwa podmiotu/ osoba reprezentująca podmiot</w:t>
            </w:r>
          </w:p>
        </w:tc>
        <w:tc>
          <w:tcPr>
            <w:tcW w:w="7038" w:type="dxa"/>
            <w:tcBorders>
              <w:top w:val="single" w:sz="18" w:space="0" w:color="FFFFFF" w:themeColor="background1"/>
            </w:tcBorders>
            <w:shd w:val="clear" w:color="auto" w:fill="D9D9D9" w:themeFill="background1" w:themeFillShade="D9"/>
            <w:vAlign w:val="center"/>
          </w:tcPr>
          <w:p w14:paraId="333E84BD" w14:textId="77777777" w:rsidR="00023F75" w:rsidRPr="00F8175E" w:rsidRDefault="00023F75" w:rsidP="00B35C5B">
            <w:pPr>
              <w:rPr>
                <w:sz w:val="20"/>
              </w:rPr>
            </w:pPr>
            <w:r w:rsidRPr="00F8175E">
              <w:rPr>
                <w:sz w:val="20"/>
              </w:rPr>
              <w:t>Zakres działalności</w:t>
            </w:r>
          </w:p>
        </w:tc>
      </w:tr>
      <w:tr w:rsidR="008F2F82" w:rsidRPr="00F8175E" w14:paraId="7D94FFDB" w14:textId="77777777" w:rsidTr="00023F75">
        <w:trPr>
          <w:trHeight w:val="541"/>
        </w:trPr>
        <w:tc>
          <w:tcPr>
            <w:tcW w:w="923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CE1E5" w:themeFill="accent2" w:themeFillTint="66"/>
            <w:vAlign w:val="center"/>
          </w:tcPr>
          <w:p w14:paraId="6C867720" w14:textId="77777777" w:rsidR="008F2F82" w:rsidRPr="00F8175E" w:rsidRDefault="008F2F82" w:rsidP="00023F75">
            <w:pPr>
              <w:rPr>
                <w:b/>
                <w:sz w:val="20"/>
              </w:rPr>
            </w:pPr>
            <w:r w:rsidRPr="00F8175E">
              <w:rPr>
                <w:b/>
                <w:sz w:val="20"/>
              </w:rPr>
              <w:t>Podmioty reprezentujące społeczeństwo obywatelskie</w:t>
            </w:r>
          </w:p>
        </w:tc>
      </w:tr>
      <w:tr w:rsidR="008F2F82" w:rsidRPr="00F8175E" w14:paraId="61F761A3" w14:textId="77777777" w:rsidTr="00023F75">
        <w:tc>
          <w:tcPr>
            <w:tcW w:w="2194" w:type="dxa"/>
            <w:vAlign w:val="center"/>
          </w:tcPr>
          <w:p w14:paraId="4DAEFAC1" w14:textId="4BD93D93" w:rsidR="008F2F82" w:rsidRPr="00F8175E" w:rsidRDefault="002D7290" w:rsidP="00023F75">
            <w:pPr>
              <w:rPr>
                <w:sz w:val="20"/>
              </w:rPr>
            </w:pPr>
            <w:r w:rsidRPr="002D7290">
              <w:rPr>
                <w:sz w:val="20"/>
              </w:rPr>
              <w:t>ZGH "Bolesław" S.A. - Fundacja ZGH "Bolesław" S.A.</w:t>
            </w:r>
          </w:p>
        </w:tc>
        <w:tc>
          <w:tcPr>
            <w:tcW w:w="7038" w:type="dxa"/>
            <w:vAlign w:val="center"/>
          </w:tcPr>
          <w:p w14:paraId="4CD6A7FD" w14:textId="1EE4C4C0" w:rsidR="008F2F82" w:rsidRPr="00F8175E" w:rsidRDefault="002D7290" w:rsidP="007A287A">
            <w:pPr>
              <w:jc w:val="both"/>
              <w:rPr>
                <w:sz w:val="20"/>
              </w:rPr>
            </w:pPr>
            <w:r w:rsidRPr="002D7290">
              <w:rPr>
                <w:sz w:val="20"/>
              </w:rPr>
              <w:t>Celem Fundacji jest działalność na rzecz lokalnej społeczności zamieszkałej na obszarze objętym działalnością prowadzoną przez ZGH. Misją ZGH jest kultywowanie tradycji górniczych Ziemi Olkuskiej  i tworzenie przestrzeni związanych z historią Regionu dla lokalnych społeczności.</w:t>
            </w:r>
          </w:p>
        </w:tc>
      </w:tr>
      <w:tr w:rsidR="008F2F82" w:rsidRPr="00F8175E" w14:paraId="159D91DE" w14:textId="77777777" w:rsidTr="00023F75">
        <w:tc>
          <w:tcPr>
            <w:tcW w:w="2194" w:type="dxa"/>
            <w:tcBorders>
              <w:bottom w:val="single" w:sz="4" w:space="0" w:color="BFBFBF" w:themeColor="background1" w:themeShade="BF"/>
            </w:tcBorders>
            <w:vAlign w:val="center"/>
          </w:tcPr>
          <w:p w14:paraId="6A69840D" w14:textId="6755C068" w:rsidR="008F2F82" w:rsidRPr="00F8175E" w:rsidRDefault="0014557F" w:rsidP="00023F75">
            <w:pPr>
              <w:rPr>
                <w:sz w:val="20"/>
              </w:rPr>
            </w:pPr>
            <w:r w:rsidRPr="0014557F">
              <w:rPr>
                <w:sz w:val="20"/>
              </w:rPr>
              <w:t>Stowarzyszenie Na Rzecz Historycznych Organów Hansa Hummla w Olkuszu</w:t>
            </w:r>
          </w:p>
        </w:tc>
        <w:tc>
          <w:tcPr>
            <w:tcW w:w="7038" w:type="dxa"/>
            <w:tcBorders>
              <w:bottom w:val="single" w:sz="4" w:space="0" w:color="BFBFBF" w:themeColor="background1" w:themeShade="BF"/>
            </w:tcBorders>
            <w:vAlign w:val="center"/>
          </w:tcPr>
          <w:p w14:paraId="6CFBDEC1" w14:textId="016FAF15" w:rsidR="008F2F82" w:rsidRPr="00F8175E" w:rsidRDefault="0014557F" w:rsidP="007A287A">
            <w:pPr>
              <w:jc w:val="both"/>
              <w:rPr>
                <w:sz w:val="20"/>
              </w:rPr>
            </w:pPr>
            <w:r w:rsidRPr="0014557F">
              <w:rPr>
                <w:sz w:val="20"/>
              </w:rPr>
              <w:t>Celem stowarzyszenia jest szeroko rozumiana opieka na zabytkowymi organami znajdującymi się w bazylice mniejszej pod we</w:t>
            </w:r>
            <w:r w:rsidR="007A287A">
              <w:rPr>
                <w:sz w:val="20"/>
              </w:rPr>
              <w:t>zwaniem św. Andrzeja apostoła w </w:t>
            </w:r>
            <w:r w:rsidRPr="0014557F">
              <w:rPr>
                <w:sz w:val="20"/>
              </w:rPr>
              <w:t>Olkuszu, będącymi własnością parafii rzym</w:t>
            </w:r>
            <w:r w:rsidR="007A287A">
              <w:rPr>
                <w:sz w:val="20"/>
              </w:rPr>
              <w:t>sko- katolickiej w Olkuszu, a w </w:t>
            </w:r>
            <w:r w:rsidRPr="0014557F">
              <w:rPr>
                <w:sz w:val="20"/>
              </w:rPr>
              <w:t xml:space="preserve">szczególności doprowadzenie instrumentu do </w:t>
            </w:r>
            <w:r w:rsidR="00756EB3">
              <w:rPr>
                <w:sz w:val="20"/>
              </w:rPr>
              <w:t>s</w:t>
            </w:r>
            <w:r w:rsidRPr="0014557F">
              <w:rPr>
                <w:sz w:val="20"/>
              </w:rPr>
              <w:t>tanu pierwotnej świetności oraz dalsze dbanie o należyty stan instrumentu.</w:t>
            </w:r>
            <w:r w:rsidR="00756EB3">
              <w:rPr>
                <w:sz w:val="20"/>
              </w:rPr>
              <w:t xml:space="preserve"> Ponadto, Stowarzyszenie działa n</w:t>
            </w:r>
            <w:r w:rsidR="007A287A">
              <w:rPr>
                <w:sz w:val="20"/>
              </w:rPr>
              <w:t>a rzecz lokalnej</w:t>
            </w:r>
            <w:r w:rsidR="00FD4A6C">
              <w:rPr>
                <w:sz w:val="20"/>
              </w:rPr>
              <w:t xml:space="preserve"> społeczności.</w:t>
            </w:r>
          </w:p>
        </w:tc>
      </w:tr>
      <w:tr w:rsidR="008F2F82" w:rsidRPr="00F8175E" w14:paraId="4D5D9FFF" w14:textId="77777777" w:rsidTr="00023F75">
        <w:tc>
          <w:tcPr>
            <w:tcW w:w="923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CE1E5" w:themeFill="accent2" w:themeFillTint="66"/>
            <w:vAlign w:val="center"/>
          </w:tcPr>
          <w:p w14:paraId="58F1BFF3" w14:textId="77777777" w:rsidR="008F2F82" w:rsidRPr="00F8175E" w:rsidRDefault="008F2F82" w:rsidP="00023F75">
            <w:pPr>
              <w:rPr>
                <w:b/>
                <w:sz w:val="20"/>
              </w:rPr>
            </w:pPr>
            <w:r w:rsidRPr="00F8175E">
              <w:rPr>
                <w:b/>
                <w:sz w:val="20"/>
              </w:rPr>
              <w:t>Podmioty odpowiedzialne za promowanie włączenia społecznego, praw podstawowych, praw osób ze specjalnymi potrzebami, równości płci i niedyskryminacji</w:t>
            </w:r>
          </w:p>
        </w:tc>
      </w:tr>
      <w:tr w:rsidR="008F2F82" w:rsidRPr="00F8175E" w14:paraId="5FA36B80" w14:textId="77777777" w:rsidTr="00023F75">
        <w:tc>
          <w:tcPr>
            <w:tcW w:w="2194" w:type="dxa"/>
            <w:vAlign w:val="center"/>
          </w:tcPr>
          <w:p w14:paraId="4516E423" w14:textId="77CD01DE" w:rsidR="008F2F82" w:rsidRPr="00F8175E" w:rsidRDefault="002D7290" w:rsidP="00023F75">
            <w:pPr>
              <w:rPr>
                <w:sz w:val="20"/>
              </w:rPr>
            </w:pPr>
            <w:r w:rsidRPr="002D7290">
              <w:rPr>
                <w:sz w:val="20"/>
              </w:rPr>
              <w:t>Stowarzyszenie "Otwórz się na więcej"</w:t>
            </w:r>
          </w:p>
        </w:tc>
        <w:tc>
          <w:tcPr>
            <w:tcW w:w="7038" w:type="dxa"/>
            <w:vAlign w:val="center"/>
          </w:tcPr>
          <w:p w14:paraId="1A3ADFAB" w14:textId="7179957B" w:rsidR="008F2F82" w:rsidRPr="00F8175E" w:rsidRDefault="002D7290" w:rsidP="007A287A">
            <w:pPr>
              <w:jc w:val="both"/>
              <w:rPr>
                <w:sz w:val="20"/>
              </w:rPr>
            </w:pPr>
            <w:r w:rsidRPr="002D7290">
              <w:rPr>
                <w:sz w:val="20"/>
              </w:rPr>
              <w:t>Prowadzenie działalności kulturalnej, edukacyjnej, turystycznej i społecznej na rzecz zachowania, rozwijania i popularyzowania dziedzictwa kulturowego, społecznego</w:t>
            </w:r>
            <w:r w:rsidR="007A287A">
              <w:rPr>
                <w:sz w:val="20"/>
              </w:rPr>
              <w:t xml:space="preserve"> i </w:t>
            </w:r>
            <w:r w:rsidRPr="002D7290">
              <w:rPr>
                <w:sz w:val="20"/>
              </w:rPr>
              <w:t>przyrodniczego Gmina Klucze</w:t>
            </w:r>
            <w:r>
              <w:rPr>
                <w:sz w:val="20"/>
              </w:rPr>
              <w:t xml:space="preserve">, a także prowadzenie działalności na rzecz </w:t>
            </w:r>
            <w:r w:rsidR="007A287A">
              <w:rPr>
                <w:sz w:val="20"/>
              </w:rPr>
              <w:t>dzieci i </w:t>
            </w:r>
            <w:r w:rsidRPr="002D7290">
              <w:rPr>
                <w:sz w:val="20"/>
              </w:rPr>
              <w:t>młodzieży, w tym</w:t>
            </w:r>
            <w:r>
              <w:rPr>
                <w:sz w:val="20"/>
              </w:rPr>
              <w:t xml:space="preserve"> wypoczynku dzieci i młodzieży, </w:t>
            </w:r>
            <w:r w:rsidRPr="002D7290">
              <w:rPr>
                <w:sz w:val="20"/>
              </w:rPr>
              <w:t>równych praw kobiet i mężczyzn</w:t>
            </w:r>
            <w:r>
              <w:rPr>
                <w:sz w:val="20"/>
              </w:rPr>
              <w:t>,</w:t>
            </w:r>
            <w:r w:rsidRPr="002D7290">
              <w:rPr>
                <w:sz w:val="20"/>
              </w:rPr>
              <w:t xml:space="preserve"> osób w wieku emerytalnym; </w:t>
            </w:r>
            <w:r>
              <w:rPr>
                <w:sz w:val="20"/>
              </w:rPr>
              <w:t>działalności</w:t>
            </w:r>
            <w:r w:rsidRPr="002D7290">
              <w:rPr>
                <w:sz w:val="20"/>
              </w:rPr>
              <w:t xml:space="preserve"> wspomagającej rozwój wspól</w:t>
            </w:r>
            <w:r w:rsidR="007A287A">
              <w:rPr>
                <w:sz w:val="20"/>
              </w:rPr>
              <w:t>not i </w:t>
            </w:r>
            <w:r>
              <w:rPr>
                <w:sz w:val="20"/>
              </w:rPr>
              <w:t>społeczności lokalnych; upowszechnianie i ochrona</w:t>
            </w:r>
            <w:r w:rsidRPr="002D7290">
              <w:rPr>
                <w:sz w:val="20"/>
              </w:rPr>
              <w:t xml:space="preserve"> wolności i praw człowieka oraz swobód obywatelskich</w:t>
            </w:r>
            <w:r>
              <w:rPr>
                <w:sz w:val="20"/>
              </w:rPr>
              <w:t>, działania wspomagające rozwój demokracji.</w:t>
            </w:r>
          </w:p>
        </w:tc>
      </w:tr>
      <w:tr w:rsidR="008F2F82" w:rsidRPr="00F8175E" w14:paraId="779C67B1" w14:textId="77777777" w:rsidTr="00023F75">
        <w:trPr>
          <w:trHeight w:val="504"/>
        </w:trPr>
        <w:tc>
          <w:tcPr>
            <w:tcW w:w="923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CE1E5" w:themeFill="accent2" w:themeFillTint="66"/>
            <w:vAlign w:val="center"/>
          </w:tcPr>
          <w:p w14:paraId="1D70488F" w14:textId="77777777" w:rsidR="008F2F82" w:rsidRPr="00F8175E" w:rsidRDefault="008F2F82" w:rsidP="00023F75">
            <w:pPr>
              <w:rPr>
                <w:b/>
                <w:sz w:val="20"/>
              </w:rPr>
            </w:pPr>
            <w:r w:rsidRPr="00F8175E">
              <w:rPr>
                <w:b/>
                <w:sz w:val="20"/>
              </w:rPr>
              <w:t>Podmioty działające na rzecz społeczności i ochrony środowiska</w:t>
            </w:r>
          </w:p>
        </w:tc>
      </w:tr>
      <w:tr w:rsidR="008F2F82" w:rsidRPr="00F8175E" w14:paraId="2160B108" w14:textId="77777777" w:rsidTr="00023F75">
        <w:tc>
          <w:tcPr>
            <w:tcW w:w="2194" w:type="dxa"/>
            <w:vAlign w:val="center"/>
          </w:tcPr>
          <w:p w14:paraId="16F7D08B" w14:textId="06071064" w:rsidR="008F2F82" w:rsidRPr="00F8175E" w:rsidRDefault="00E717CF" w:rsidP="00023F75">
            <w:pPr>
              <w:rPr>
                <w:sz w:val="20"/>
              </w:rPr>
            </w:pPr>
            <w:r w:rsidRPr="00E717CF">
              <w:rPr>
                <w:sz w:val="20"/>
              </w:rPr>
              <w:t>Stowarzyszenie Sportowo-Rekreacyjno-Wędkarskie "Podlipianie"</w:t>
            </w:r>
          </w:p>
        </w:tc>
        <w:tc>
          <w:tcPr>
            <w:tcW w:w="7038" w:type="dxa"/>
            <w:vAlign w:val="center"/>
          </w:tcPr>
          <w:p w14:paraId="3C083186" w14:textId="38784AB5" w:rsidR="008F2F82" w:rsidRPr="00F8175E" w:rsidRDefault="00E717CF" w:rsidP="007A287A">
            <w:pPr>
              <w:jc w:val="both"/>
              <w:rPr>
                <w:sz w:val="20"/>
              </w:rPr>
            </w:pPr>
            <w:r>
              <w:rPr>
                <w:sz w:val="20"/>
              </w:rPr>
              <w:t>Ochrona środowiska, propagowanie wędkarstwa i rekreacji.</w:t>
            </w:r>
          </w:p>
        </w:tc>
      </w:tr>
      <w:tr w:rsidR="006A6876" w:rsidRPr="00F8175E" w14:paraId="09C14AF9" w14:textId="77777777" w:rsidTr="00023F75">
        <w:tc>
          <w:tcPr>
            <w:tcW w:w="2194" w:type="dxa"/>
            <w:vAlign w:val="center"/>
          </w:tcPr>
          <w:p w14:paraId="52E94A1D" w14:textId="3BCAD5D7" w:rsidR="006A6876" w:rsidRPr="00E717CF" w:rsidRDefault="006A6876" w:rsidP="00023F75">
            <w:pPr>
              <w:rPr>
                <w:sz w:val="20"/>
              </w:rPr>
            </w:pPr>
            <w:r w:rsidRPr="00720EE9">
              <w:rPr>
                <w:sz w:val="20"/>
              </w:rPr>
              <w:t>F.H.U. MAX-TRANS Andrzej Maksymowicz, NIP 637-17-65-183</w:t>
            </w:r>
          </w:p>
        </w:tc>
        <w:tc>
          <w:tcPr>
            <w:tcW w:w="7038" w:type="dxa"/>
            <w:vAlign w:val="center"/>
          </w:tcPr>
          <w:p w14:paraId="5ACD1C3E" w14:textId="6F7A665B" w:rsidR="006A6876" w:rsidRDefault="006A6876" w:rsidP="007A287A">
            <w:pPr>
              <w:jc w:val="both"/>
              <w:rPr>
                <w:sz w:val="20"/>
              </w:rPr>
            </w:pPr>
            <w:r>
              <w:rPr>
                <w:sz w:val="20"/>
              </w:rPr>
              <w:t>Przedsiębiorstwo wspiera</w:t>
            </w:r>
            <w:r w:rsidRPr="00720EE9">
              <w:rPr>
                <w:sz w:val="20"/>
              </w:rPr>
              <w:t xml:space="preserve"> zrównowa</w:t>
            </w:r>
            <w:r>
              <w:rPr>
                <w:sz w:val="20"/>
              </w:rPr>
              <w:t>żony rozwój regionu i wprowadza</w:t>
            </w:r>
            <w:r w:rsidRPr="00720EE9">
              <w:rPr>
                <w:sz w:val="20"/>
              </w:rPr>
              <w:t xml:space="preserve"> innowacy</w:t>
            </w:r>
            <w:r>
              <w:rPr>
                <w:sz w:val="20"/>
              </w:rPr>
              <w:t xml:space="preserve">jne rozwiązania proekologiczne na rzecz </w:t>
            </w:r>
            <w:r w:rsidRPr="00720EE9">
              <w:rPr>
                <w:sz w:val="20"/>
              </w:rPr>
              <w:t>ochrony środowiska, co przyczyni</w:t>
            </w:r>
            <w:r>
              <w:rPr>
                <w:sz w:val="20"/>
              </w:rPr>
              <w:t>a</w:t>
            </w:r>
            <w:r w:rsidRPr="00720EE9">
              <w:rPr>
                <w:sz w:val="20"/>
              </w:rPr>
              <w:t xml:space="preserve"> się do poprawy jakości życia mieszkańców i ochrony lokalnych zasobów naturalnych.</w:t>
            </w:r>
          </w:p>
        </w:tc>
      </w:tr>
      <w:tr w:rsidR="00CC5222" w:rsidRPr="00F8175E" w14:paraId="65DFB6A2" w14:textId="77777777" w:rsidTr="00023F75">
        <w:trPr>
          <w:trHeight w:val="504"/>
        </w:trPr>
        <w:tc>
          <w:tcPr>
            <w:tcW w:w="923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CE1E5" w:themeFill="accent2" w:themeFillTint="66"/>
            <w:vAlign w:val="center"/>
          </w:tcPr>
          <w:p w14:paraId="7544A7A1" w14:textId="5268ACF3" w:rsidR="00CC5222" w:rsidRPr="00F8175E" w:rsidRDefault="00CC5222" w:rsidP="00023F75">
            <w:pPr>
              <w:rPr>
                <w:b/>
                <w:sz w:val="20"/>
              </w:rPr>
            </w:pPr>
            <w:r>
              <w:rPr>
                <w:b/>
                <w:sz w:val="20"/>
              </w:rPr>
              <w:t>Inni partnerzy społeczno-gospodarczy</w:t>
            </w:r>
          </w:p>
        </w:tc>
      </w:tr>
      <w:tr w:rsidR="00CC5222" w:rsidRPr="00F8175E" w14:paraId="386EC0D5" w14:textId="77777777" w:rsidTr="00023F75">
        <w:tc>
          <w:tcPr>
            <w:tcW w:w="2194" w:type="dxa"/>
            <w:vAlign w:val="center"/>
          </w:tcPr>
          <w:p w14:paraId="7DAA0AFE" w14:textId="7033BB13" w:rsidR="00CC5222" w:rsidRPr="00F8175E" w:rsidRDefault="00CC5222" w:rsidP="00023F75">
            <w:pPr>
              <w:rPr>
                <w:sz w:val="20"/>
              </w:rPr>
            </w:pPr>
            <w:r w:rsidRPr="006A6876">
              <w:rPr>
                <w:sz w:val="20"/>
              </w:rPr>
              <w:t>Baśniobór alpaki</w:t>
            </w:r>
          </w:p>
        </w:tc>
        <w:tc>
          <w:tcPr>
            <w:tcW w:w="7038" w:type="dxa"/>
            <w:vAlign w:val="center"/>
          </w:tcPr>
          <w:p w14:paraId="7F74A1C3" w14:textId="0B9CC004" w:rsidR="00CC5222" w:rsidRPr="00F8175E" w:rsidRDefault="00CC5222" w:rsidP="00023F75">
            <w:pPr>
              <w:rPr>
                <w:sz w:val="20"/>
              </w:rPr>
            </w:pPr>
            <w:r>
              <w:rPr>
                <w:sz w:val="20"/>
              </w:rPr>
              <w:t>Działalność w obszarze turystyki, rekreacji i kultury.</w:t>
            </w:r>
          </w:p>
        </w:tc>
      </w:tr>
    </w:tbl>
    <w:p w14:paraId="56EA219F" w14:textId="41D69A57" w:rsidR="008F2F82" w:rsidRDefault="008F2F82" w:rsidP="008F2F82">
      <w:pPr>
        <w:spacing w:before="240" w:line="360" w:lineRule="auto"/>
        <w:jc w:val="both"/>
      </w:pPr>
      <w:r>
        <w:t xml:space="preserve">Przedstawiciele ww. podmiotów zostali </w:t>
      </w:r>
      <w:r w:rsidRPr="00F8175E">
        <w:t xml:space="preserve">zaproszeni na spotkanie dotyczące roli </w:t>
      </w:r>
      <w:r>
        <w:t>Z</w:t>
      </w:r>
      <w:r w:rsidRPr="00F8175E">
        <w:t xml:space="preserve">espołu </w:t>
      </w:r>
      <w:r>
        <w:t>D</w:t>
      </w:r>
      <w:r w:rsidR="00023F75">
        <w:t>oradczego w </w:t>
      </w:r>
      <w:r w:rsidRPr="00F8175E">
        <w:t>pr</w:t>
      </w:r>
      <w:r>
        <w:t xml:space="preserve">ocesie opracowywania Strategii oraz zasad </w:t>
      </w:r>
      <w:r w:rsidRPr="00F8175E">
        <w:t>realizacji instrument</w:t>
      </w:r>
      <w:r>
        <w:t>u IIT, na którym formalnie powołano Zespół.</w:t>
      </w:r>
    </w:p>
    <w:p w14:paraId="6F18A43B" w14:textId="1501C256" w:rsidR="008F2F82" w:rsidRDefault="008F2F82" w:rsidP="008F2F82">
      <w:pPr>
        <w:spacing w:line="360" w:lineRule="auto"/>
        <w:jc w:val="both"/>
      </w:pPr>
      <w:r>
        <w:t>W skład Zespołu Doradczego</w:t>
      </w:r>
      <w:r w:rsidRPr="005A27C6">
        <w:t xml:space="preserve"> </w:t>
      </w:r>
      <w:r w:rsidRPr="009E2541">
        <w:t xml:space="preserve">wchodzi </w:t>
      </w:r>
      <w:r w:rsidR="009E2541" w:rsidRPr="009E2541">
        <w:t>6</w:t>
      </w:r>
      <w:r w:rsidRPr="009E2541">
        <w:t xml:space="preserve"> osób. Zespół</w:t>
      </w:r>
      <w:r>
        <w:t xml:space="preserve"> </w:t>
      </w:r>
      <w:r w:rsidRPr="008F2F82">
        <w:t>pełni funkcję konsultacyjno-opiniodawczą dla Zespołu Operacyjnego w procesach związanych z opracowanie</w:t>
      </w:r>
      <w:r w:rsidR="00023F75">
        <w:t>m, realizacją, monitorowaniem i </w:t>
      </w:r>
      <w:r w:rsidRPr="008F2F82">
        <w:t>ewaluacją Strategii Innego Instrumentu Terytorialnego (IIT) dla obszarów Gminy Olkusz,</w:t>
      </w:r>
      <w:r>
        <w:t xml:space="preserve"> Gminy Klucze i Gminy Bolesław.  Zgodnie z założeniami, Zespół stanowi forum współpracy i dialogu interesariuszy</w:t>
      </w:r>
      <w:r w:rsidR="00023F75">
        <w:t xml:space="preserve"> z </w:t>
      </w:r>
      <w:r w:rsidRPr="008F2F82">
        <w:t xml:space="preserve">OF Olkusza </w:t>
      </w:r>
      <w:r w:rsidR="007A287A">
        <w:t xml:space="preserve">w </w:t>
      </w:r>
      <w:r>
        <w:t>sprawach dotyczących przygotowania i wdrażania Strategii IIT oraz umożliwia prowadzenie dyskusji mającej na celu wypracowanie wspólnego st</w:t>
      </w:r>
      <w:r w:rsidR="00023F75">
        <w:t>anowiska, najkorzystniejszego z </w:t>
      </w:r>
      <w:r>
        <w:t xml:space="preserve">punktu widzenia różnych grup interesariuszy. </w:t>
      </w:r>
    </w:p>
    <w:p w14:paraId="1F61529D" w14:textId="77777777" w:rsidR="008F2F82" w:rsidRDefault="008F2F82" w:rsidP="008F2F82">
      <w:pPr>
        <w:spacing w:line="360" w:lineRule="auto"/>
        <w:jc w:val="both"/>
      </w:pPr>
      <w:r>
        <w:t xml:space="preserve">Zespół uczestniczył w pracach Zespołu Operacyjnego związanych z przygotowaniem i wdrażaniem Strategii IIT poprzez opiniowanie wypracowywanych dokumentów podczas spotkań </w:t>
      </w:r>
      <w:r w:rsidRPr="005A27C6">
        <w:t xml:space="preserve">stacjonarnych oraz on–line </w:t>
      </w:r>
      <w:r>
        <w:t xml:space="preserve">i/lub </w:t>
      </w:r>
      <w:r w:rsidRPr="005A27C6">
        <w:t>kierowan</w:t>
      </w:r>
      <w:r>
        <w:t>ie korespondencji tradycyjnej i </w:t>
      </w:r>
      <w:r w:rsidRPr="005A27C6">
        <w:t xml:space="preserve">e-mail do </w:t>
      </w:r>
      <w:r>
        <w:t>Zespołu Operacyjnego.</w:t>
      </w:r>
    </w:p>
    <w:p w14:paraId="73AB0927" w14:textId="77777777" w:rsidR="008F2F82" w:rsidRDefault="008F2F82" w:rsidP="008F2F82">
      <w:pPr>
        <w:spacing w:line="360" w:lineRule="auto"/>
        <w:jc w:val="both"/>
      </w:pPr>
      <w:r w:rsidRPr="00DD7070">
        <w:t xml:space="preserve">W trakcie spotkań Zespołu, jego członkowie zostali zapoznani z wynikami diagnozy sytuacji społeczno-gospodarczej i przestrzennej obszaru wsparcia oraz mieli możliwość składania uwag i zgłaszania sugestii co do uzupełnienia diagnozy o istotne z ich punktu widzenia informacje. Ponadto, Partnerzy zostali zapoznani z projektem Strategii IIT oraz uczestniczyli w wyborze projektów realizujących ich cele poprzez opiniowanie i uzgodnienie przedstawionych propozycji projektowych. </w:t>
      </w:r>
      <w:r w:rsidRPr="006F0182">
        <w:rPr>
          <w:highlight w:val="yellow"/>
        </w:rPr>
        <w:t>W wyniku spotkania, które odbyło się ……………..., Zespół Doradczy uzgodnił i pozytywnie zaopiniował projekt Strategii wraz z listą projektów realizujących jej cele.</w:t>
      </w:r>
    </w:p>
    <w:p w14:paraId="038B1F3F" w14:textId="04FF2DD5" w:rsidR="008F2F82" w:rsidRDefault="008F2F82" w:rsidP="008F2F82">
      <w:pPr>
        <w:spacing w:line="360" w:lineRule="auto"/>
        <w:jc w:val="both"/>
      </w:pPr>
      <w:r>
        <w:t>W celu zaangażowania szerokiej grupy interesariuszy w proces opracowywania Strategii przeprowadzono również konsultacje społeczne projektu dokumentu. Konsultacje prowadzone były w </w:t>
      </w:r>
      <w:r w:rsidRPr="001B2251">
        <w:t xml:space="preserve">terminie </w:t>
      </w:r>
      <w:r w:rsidRPr="00DD7070">
        <w:t xml:space="preserve">od </w:t>
      </w:r>
      <w:r w:rsidR="00DD7070" w:rsidRPr="00DD7070">
        <w:t>8</w:t>
      </w:r>
      <w:r w:rsidR="007607D4" w:rsidRPr="00DD7070">
        <w:t xml:space="preserve"> do </w:t>
      </w:r>
      <w:r w:rsidR="00DD7070" w:rsidRPr="00DD7070">
        <w:t>21 listopada</w:t>
      </w:r>
      <w:r w:rsidRPr="00DD7070">
        <w:t xml:space="preserve"> 2024 r. i skierowane</w:t>
      </w:r>
      <w:r w:rsidRPr="001B2251">
        <w:t xml:space="preserve"> były do wszystkich zainteresowanych, ze szczególnym</w:t>
      </w:r>
      <w:r>
        <w:t xml:space="preserve"> uwzględnieniem mieszkańców gmin: Olkusz, Bolesław i Klucze, partnerskich i </w:t>
      </w:r>
      <w:r w:rsidRPr="001B2251">
        <w:t xml:space="preserve">sąsiadujących samorządów oraz partnerów społeczno-gospodarczych istotnych dla rozwoju społeczno-gospodarczego i przestrzennego </w:t>
      </w:r>
      <w:r>
        <w:t>obszaru funkcjonalnego Olkusza.</w:t>
      </w:r>
    </w:p>
    <w:p w14:paraId="3BF1E00B" w14:textId="77777777" w:rsidR="002F6F08" w:rsidRDefault="002F6F08" w:rsidP="002F6F08">
      <w:pPr>
        <w:spacing w:line="360" w:lineRule="auto"/>
        <w:jc w:val="both"/>
      </w:pPr>
      <w:bookmarkStart w:id="21" w:name="_Toc181691584"/>
      <w:r>
        <w:rPr>
          <w:highlight w:val="yellow"/>
        </w:rPr>
        <w:t>Rozdział zostanie uzupełniony</w:t>
      </w:r>
      <w:r w:rsidRPr="006F0182">
        <w:rPr>
          <w:highlight w:val="yellow"/>
        </w:rPr>
        <w:t xml:space="preserve"> na etapie konsultacji społecznych</w:t>
      </w:r>
      <w:r>
        <w:rPr>
          <w:highlight w:val="yellow"/>
        </w:rPr>
        <w:t xml:space="preserve"> projektu dokumentu</w:t>
      </w:r>
      <w:r w:rsidRPr="006F0182">
        <w:rPr>
          <w:highlight w:val="yellow"/>
        </w:rPr>
        <w:t>.</w:t>
      </w:r>
    </w:p>
    <w:p w14:paraId="1297DB87" w14:textId="01FF1FA5" w:rsidR="009F2E80" w:rsidRDefault="009B1037" w:rsidP="009F2E80">
      <w:pPr>
        <w:pStyle w:val="Nagwek2"/>
      </w:pPr>
      <w:r>
        <w:t xml:space="preserve">4.3 </w:t>
      </w:r>
      <w:r w:rsidR="009F2E80">
        <w:t>Oczekiwane wskaźniki rezultatu i produktu oraz ich monitoring</w:t>
      </w:r>
      <w:bookmarkEnd w:id="21"/>
    </w:p>
    <w:p w14:paraId="2A8D2F6E" w14:textId="51A862F2" w:rsidR="001A0168" w:rsidRPr="001A0168" w:rsidRDefault="001A0168" w:rsidP="001A0168">
      <w:pPr>
        <w:rPr>
          <w:b/>
        </w:rPr>
      </w:pPr>
      <w:r w:rsidRPr="001A0168">
        <w:rPr>
          <w:b/>
        </w:rPr>
        <w:t>Procedura monitorowania</w:t>
      </w:r>
    </w:p>
    <w:p w14:paraId="11D75010" w14:textId="7A8B85C6" w:rsidR="001A0168" w:rsidRDefault="001A0168" w:rsidP="001A0168">
      <w:pPr>
        <w:spacing w:line="360" w:lineRule="auto"/>
        <w:jc w:val="both"/>
      </w:pPr>
      <w:r w:rsidRPr="00785C01">
        <w:t xml:space="preserve">Monitoring </w:t>
      </w:r>
      <w:r>
        <w:t xml:space="preserve">realizacji założeń Strategii będzie realizowany co roku. Proces ten polega na analizie danych dotyczących przede wszystkim stopnia zaawansowania realizacji poszczególnych przedsięwzięć oraz osiągniętych wskaźników produktu i rezultatu (o ile są możliwe do oszacowania na danym etapie realizacji). W przypadku problemów na etapie realizacji przedsięwzięć, monitoring będzie również źródłem informacji o </w:t>
      </w:r>
      <w:r w:rsidR="00AC3A51">
        <w:t xml:space="preserve">występujących przeszkodach oraz planu ich niwelowania. </w:t>
      </w:r>
    </w:p>
    <w:p w14:paraId="77F2EB8C" w14:textId="5597E5E7" w:rsidR="001A0168" w:rsidRDefault="001A0168" w:rsidP="001A0168">
      <w:pPr>
        <w:spacing w:line="360" w:lineRule="auto"/>
        <w:jc w:val="both"/>
      </w:pPr>
      <w:r>
        <w:t>Analizie będą podlegały przede wszystkim wskaźniki zdefiniowane dla celów IIT w poniższych tabelach.</w:t>
      </w:r>
    </w:p>
    <w:p w14:paraId="4BEAB190" w14:textId="77777777" w:rsidR="00AC3A51" w:rsidRPr="00023F75" w:rsidRDefault="00AC3A51" w:rsidP="00AC3A51">
      <w:pPr>
        <w:rPr>
          <w:b/>
          <w:color w:val="2683C6" w:themeColor="accent6"/>
        </w:rPr>
      </w:pPr>
      <w:r w:rsidRPr="00023F75">
        <w:rPr>
          <w:b/>
          <w:color w:val="2683C6" w:themeColor="accent6"/>
        </w:rPr>
        <w:t>Wskaźniki produktu</w:t>
      </w:r>
    </w:p>
    <w:p w14:paraId="05AAD169" w14:textId="77777777" w:rsidR="00AC3A51" w:rsidRDefault="00AC3A51" w:rsidP="00023F75">
      <w:pPr>
        <w:pStyle w:val="Legenda"/>
        <w:keepNext/>
        <w:spacing w:before="240" w:after="0"/>
      </w:pPr>
      <w:bookmarkStart w:id="22" w:name="_Toc168985451"/>
      <w:bookmarkStart w:id="23" w:name="_Toc181860166"/>
      <w:r>
        <w:t xml:space="preserve">Tabela </w:t>
      </w:r>
      <w:r w:rsidR="004D3018">
        <w:rPr>
          <w:noProof/>
        </w:rPr>
        <w:fldChar w:fldCharType="begin"/>
      </w:r>
      <w:r w:rsidR="004D3018">
        <w:rPr>
          <w:noProof/>
        </w:rPr>
        <w:instrText xml:space="preserve"> SEQ Tabela \* ARABIC </w:instrText>
      </w:r>
      <w:r w:rsidR="004D3018">
        <w:rPr>
          <w:noProof/>
        </w:rPr>
        <w:fldChar w:fldCharType="separate"/>
      </w:r>
      <w:r w:rsidR="003606AF">
        <w:rPr>
          <w:noProof/>
        </w:rPr>
        <w:t>5</w:t>
      </w:r>
      <w:r w:rsidR="004D3018">
        <w:rPr>
          <w:noProof/>
        </w:rPr>
        <w:fldChar w:fldCharType="end"/>
      </w:r>
      <w:r>
        <w:t xml:space="preserve"> Wskaźniki produktu</w:t>
      </w:r>
      <w:bookmarkEnd w:id="22"/>
      <w:bookmarkEnd w:id="23"/>
    </w:p>
    <w:tbl>
      <w:tblPr>
        <w:tblStyle w:val="Tabela-Siatka"/>
        <w:tblW w:w="9062" w:type="dxa"/>
        <w:tblInd w:w="-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11"/>
        <w:gridCol w:w="1147"/>
        <w:gridCol w:w="2404"/>
      </w:tblGrid>
      <w:tr w:rsidR="00023F75" w:rsidRPr="00B22AD1" w14:paraId="06834D9A" w14:textId="77777777" w:rsidTr="00023F75">
        <w:tc>
          <w:tcPr>
            <w:tcW w:w="5511" w:type="dxa"/>
            <w:tcBorders>
              <w:top w:val="single" w:sz="12" w:space="0" w:color="FFFFFF" w:themeColor="background1"/>
            </w:tcBorders>
            <w:shd w:val="clear" w:color="auto" w:fill="D9D9D9" w:themeFill="background1" w:themeFillShade="D9"/>
            <w:vAlign w:val="center"/>
          </w:tcPr>
          <w:p w14:paraId="03DD65ED" w14:textId="77777777" w:rsidR="00023F75" w:rsidRPr="00B22AD1" w:rsidRDefault="00023F75" w:rsidP="00B35C5B">
            <w:pPr>
              <w:jc w:val="center"/>
              <w:rPr>
                <w:sz w:val="20"/>
              </w:rPr>
            </w:pPr>
            <w:r w:rsidRPr="00B22AD1">
              <w:rPr>
                <w:sz w:val="20"/>
              </w:rPr>
              <w:t>Wskaźnik</w:t>
            </w:r>
          </w:p>
        </w:tc>
        <w:tc>
          <w:tcPr>
            <w:tcW w:w="1147" w:type="dxa"/>
            <w:tcBorders>
              <w:top w:val="single" w:sz="12" w:space="0" w:color="FFFFFF" w:themeColor="background1"/>
            </w:tcBorders>
            <w:shd w:val="clear" w:color="auto" w:fill="D9D9D9" w:themeFill="background1" w:themeFillShade="D9"/>
            <w:vAlign w:val="center"/>
          </w:tcPr>
          <w:p w14:paraId="5F9BD949" w14:textId="77777777" w:rsidR="00023F75" w:rsidRPr="00B22AD1" w:rsidRDefault="00023F75" w:rsidP="00B35C5B">
            <w:pPr>
              <w:jc w:val="center"/>
              <w:rPr>
                <w:sz w:val="20"/>
              </w:rPr>
            </w:pPr>
            <w:r w:rsidRPr="00B22AD1">
              <w:rPr>
                <w:sz w:val="20"/>
              </w:rPr>
              <w:t>Jednostka miary</w:t>
            </w:r>
          </w:p>
        </w:tc>
        <w:tc>
          <w:tcPr>
            <w:tcW w:w="2404" w:type="dxa"/>
            <w:tcBorders>
              <w:top w:val="single" w:sz="12" w:space="0" w:color="FFFFFF" w:themeColor="background1"/>
            </w:tcBorders>
            <w:shd w:val="clear" w:color="auto" w:fill="D9D9D9" w:themeFill="background1" w:themeFillShade="D9"/>
            <w:vAlign w:val="center"/>
          </w:tcPr>
          <w:p w14:paraId="78EBBB74" w14:textId="77777777" w:rsidR="00023F75" w:rsidRPr="00B22AD1" w:rsidRDefault="00023F75" w:rsidP="00B35C5B">
            <w:pPr>
              <w:jc w:val="center"/>
              <w:rPr>
                <w:sz w:val="20"/>
              </w:rPr>
            </w:pPr>
            <w:r w:rsidRPr="00EB560C">
              <w:rPr>
                <w:sz w:val="20"/>
              </w:rPr>
              <w:t xml:space="preserve">Skumulowana szacowana wartość docelowa wskaźnika </w:t>
            </w:r>
            <w:r>
              <w:rPr>
                <w:sz w:val="20"/>
              </w:rPr>
              <w:t>(2028</w:t>
            </w:r>
            <w:r w:rsidRPr="00B22AD1">
              <w:rPr>
                <w:sz w:val="20"/>
              </w:rPr>
              <w:t xml:space="preserve"> r.)</w:t>
            </w:r>
          </w:p>
        </w:tc>
      </w:tr>
      <w:tr w:rsidR="00AC3A51" w:rsidRPr="00B22AD1" w14:paraId="29D72306" w14:textId="77777777" w:rsidTr="003B4ACE">
        <w:trPr>
          <w:trHeight w:val="496"/>
        </w:trPr>
        <w:tc>
          <w:tcPr>
            <w:tcW w:w="9062"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74B5E4" w:themeFill="accent6" w:themeFillTint="99"/>
            <w:vAlign w:val="center"/>
          </w:tcPr>
          <w:p w14:paraId="0530526F" w14:textId="5B02E19B" w:rsidR="00AC3A51" w:rsidRPr="00B22AD1" w:rsidRDefault="00AC3A51" w:rsidP="00AC3A51">
            <w:pPr>
              <w:jc w:val="center"/>
              <w:rPr>
                <w:sz w:val="20"/>
              </w:rPr>
            </w:pPr>
            <w:r w:rsidRPr="00B22AD1">
              <w:rPr>
                <w:sz w:val="20"/>
              </w:rPr>
              <w:t xml:space="preserve">1 Cel IIT </w:t>
            </w:r>
          </w:p>
        </w:tc>
      </w:tr>
      <w:tr w:rsidR="00AC3A51" w:rsidRPr="00B22AD1" w14:paraId="3A0A55A8" w14:textId="77777777" w:rsidTr="00023F75">
        <w:tc>
          <w:tcPr>
            <w:tcW w:w="5511" w:type="dxa"/>
            <w:vAlign w:val="center"/>
          </w:tcPr>
          <w:p w14:paraId="68622EC4" w14:textId="77777777" w:rsidR="00AC3A51" w:rsidRPr="00B22AD1" w:rsidRDefault="00AC3A51" w:rsidP="002044BE">
            <w:pPr>
              <w:rPr>
                <w:sz w:val="20"/>
              </w:rPr>
            </w:pPr>
            <w:r w:rsidRPr="00B22AD1">
              <w:rPr>
                <w:sz w:val="20"/>
              </w:rPr>
              <w:t>RCO77 - Liczba obiektów kulturalnych i turystycznych objętych wsparciem</w:t>
            </w:r>
          </w:p>
        </w:tc>
        <w:tc>
          <w:tcPr>
            <w:tcW w:w="1147" w:type="dxa"/>
            <w:vAlign w:val="center"/>
          </w:tcPr>
          <w:p w14:paraId="19A8F9E9" w14:textId="77777777" w:rsidR="00AC3A51" w:rsidRPr="00B22AD1" w:rsidRDefault="00AC3A51" w:rsidP="002044BE">
            <w:pPr>
              <w:jc w:val="center"/>
              <w:rPr>
                <w:sz w:val="20"/>
              </w:rPr>
            </w:pPr>
            <w:r>
              <w:rPr>
                <w:sz w:val="20"/>
              </w:rPr>
              <w:t>obiekty</w:t>
            </w:r>
          </w:p>
        </w:tc>
        <w:tc>
          <w:tcPr>
            <w:tcW w:w="2404" w:type="dxa"/>
            <w:vAlign w:val="center"/>
          </w:tcPr>
          <w:p w14:paraId="028817EB" w14:textId="7CF22D9E" w:rsidR="00AC3A51" w:rsidRPr="00B22AD1" w:rsidRDefault="00061830" w:rsidP="002044BE">
            <w:pPr>
              <w:jc w:val="center"/>
              <w:rPr>
                <w:sz w:val="20"/>
              </w:rPr>
            </w:pPr>
            <w:r>
              <w:rPr>
                <w:sz w:val="20"/>
              </w:rPr>
              <w:t>2</w:t>
            </w:r>
          </w:p>
        </w:tc>
      </w:tr>
      <w:tr w:rsidR="00AC3A51" w:rsidRPr="00B22AD1" w14:paraId="59742326" w14:textId="77777777" w:rsidTr="00023F75">
        <w:tc>
          <w:tcPr>
            <w:tcW w:w="5511" w:type="dxa"/>
            <w:vAlign w:val="center"/>
          </w:tcPr>
          <w:p w14:paraId="3984EC38" w14:textId="77777777" w:rsidR="00AC3A51" w:rsidRPr="00B22AD1" w:rsidRDefault="00AC3A51" w:rsidP="002044BE">
            <w:pPr>
              <w:rPr>
                <w:sz w:val="20"/>
              </w:rPr>
            </w:pPr>
            <w:r w:rsidRPr="00B22AD1">
              <w:rPr>
                <w:sz w:val="20"/>
              </w:rPr>
              <w:t>RCO74 - Ludność objęta projektami w ramach strategii zintegrowanego rozwoju terytorialnego</w:t>
            </w:r>
          </w:p>
        </w:tc>
        <w:tc>
          <w:tcPr>
            <w:tcW w:w="1147" w:type="dxa"/>
            <w:vAlign w:val="center"/>
          </w:tcPr>
          <w:p w14:paraId="3B66F730" w14:textId="77777777" w:rsidR="00AC3A51" w:rsidRPr="00B22AD1" w:rsidRDefault="00AC3A51" w:rsidP="002044BE">
            <w:pPr>
              <w:jc w:val="center"/>
              <w:rPr>
                <w:sz w:val="20"/>
              </w:rPr>
            </w:pPr>
            <w:r w:rsidRPr="00B22AD1">
              <w:rPr>
                <w:sz w:val="20"/>
              </w:rPr>
              <w:t>osoby</w:t>
            </w:r>
          </w:p>
        </w:tc>
        <w:tc>
          <w:tcPr>
            <w:tcW w:w="2404" w:type="dxa"/>
            <w:vAlign w:val="center"/>
          </w:tcPr>
          <w:p w14:paraId="7825B3EA" w14:textId="6C3BB321" w:rsidR="00AC3A51" w:rsidRPr="00B22AD1" w:rsidRDefault="00061830" w:rsidP="002044BE">
            <w:pPr>
              <w:jc w:val="center"/>
              <w:rPr>
                <w:sz w:val="20"/>
              </w:rPr>
            </w:pPr>
            <w:r w:rsidRPr="00061830">
              <w:rPr>
                <w:sz w:val="20"/>
              </w:rPr>
              <w:t>65 155</w:t>
            </w:r>
          </w:p>
        </w:tc>
      </w:tr>
      <w:tr w:rsidR="00AC3A51" w:rsidRPr="00B22AD1" w14:paraId="5AA0F0DC" w14:textId="77777777" w:rsidTr="00023F75">
        <w:tc>
          <w:tcPr>
            <w:tcW w:w="5511" w:type="dxa"/>
            <w:vAlign w:val="center"/>
          </w:tcPr>
          <w:p w14:paraId="57754E7B" w14:textId="77777777" w:rsidR="00AC3A51" w:rsidRPr="00B22AD1" w:rsidRDefault="00AC3A51" w:rsidP="002044BE">
            <w:pPr>
              <w:rPr>
                <w:sz w:val="20"/>
              </w:rPr>
            </w:pPr>
            <w:r w:rsidRPr="00B22AD1">
              <w:rPr>
                <w:sz w:val="20"/>
              </w:rPr>
              <w:t>RCO75 - Wspierane strategie zintegrowanego rozwoju terytorialnego</w:t>
            </w:r>
          </w:p>
        </w:tc>
        <w:tc>
          <w:tcPr>
            <w:tcW w:w="1147" w:type="dxa"/>
            <w:vAlign w:val="center"/>
          </w:tcPr>
          <w:p w14:paraId="4A50B12E" w14:textId="77777777" w:rsidR="00AC3A51" w:rsidRPr="00B22AD1" w:rsidRDefault="00AC3A51" w:rsidP="002044BE">
            <w:pPr>
              <w:jc w:val="center"/>
              <w:rPr>
                <w:sz w:val="20"/>
              </w:rPr>
            </w:pPr>
            <w:r>
              <w:rPr>
                <w:sz w:val="20"/>
              </w:rPr>
              <w:t>Projekty</w:t>
            </w:r>
          </w:p>
        </w:tc>
        <w:tc>
          <w:tcPr>
            <w:tcW w:w="2404" w:type="dxa"/>
            <w:vAlign w:val="center"/>
          </w:tcPr>
          <w:p w14:paraId="14AA0C27" w14:textId="4953F359" w:rsidR="00AC3A51" w:rsidRPr="00B22AD1" w:rsidRDefault="00061830" w:rsidP="002044BE">
            <w:pPr>
              <w:jc w:val="center"/>
              <w:rPr>
                <w:sz w:val="20"/>
              </w:rPr>
            </w:pPr>
            <w:r>
              <w:rPr>
                <w:sz w:val="20"/>
              </w:rPr>
              <w:t>3</w:t>
            </w:r>
          </w:p>
        </w:tc>
      </w:tr>
      <w:tr w:rsidR="00061830" w:rsidRPr="00B22AD1" w14:paraId="5CFDB6D9" w14:textId="77777777" w:rsidTr="00023F75">
        <w:tc>
          <w:tcPr>
            <w:tcW w:w="5511" w:type="dxa"/>
            <w:vAlign w:val="center"/>
          </w:tcPr>
          <w:p w14:paraId="651958C3" w14:textId="46C42E36" w:rsidR="00061830" w:rsidRPr="00B22AD1" w:rsidRDefault="00061830" w:rsidP="002044BE">
            <w:pPr>
              <w:rPr>
                <w:sz w:val="20"/>
              </w:rPr>
            </w:pPr>
            <w:r w:rsidRPr="00061830">
              <w:rPr>
                <w:sz w:val="20"/>
              </w:rPr>
              <w:t>PLRO135 - Długość wspartych szlaków turystycznych</w:t>
            </w:r>
          </w:p>
        </w:tc>
        <w:tc>
          <w:tcPr>
            <w:tcW w:w="1147" w:type="dxa"/>
            <w:vAlign w:val="center"/>
          </w:tcPr>
          <w:p w14:paraId="186F27E7" w14:textId="6F2DA774" w:rsidR="00061830" w:rsidRDefault="00061830" w:rsidP="002044BE">
            <w:pPr>
              <w:jc w:val="center"/>
              <w:rPr>
                <w:sz w:val="20"/>
              </w:rPr>
            </w:pPr>
            <w:r>
              <w:rPr>
                <w:sz w:val="20"/>
              </w:rPr>
              <w:t>km</w:t>
            </w:r>
          </w:p>
        </w:tc>
        <w:tc>
          <w:tcPr>
            <w:tcW w:w="2404" w:type="dxa"/>
            <w:vAlign w:val="center"/>
          </w:tcPr>
          <w:p w14:paraId="7B5A9471" w14:textId="19655E02" w:rsidR="00061830" w:rsidRDefault="001D4D4A" w:rsidP="002044BE">
            <w:pPr>
              <w:jc w:val="center"/>
              <w:rPr>
                <w:sz w:val="20"/>
              </w:rPr>
            </w:pPr>
            <w:r>
              <w:rPr>
                <w:sz w:val="20"/>
              </w:rPr>
              <w:t>30</w:t>
            </w:r>
          </w:p>
        </w:tc>
      </w:tr>
      <w:tr w:rsidR="00AC3A51" w:rsidRPr="00B22AD1" w14:paraId="68AF1453" w14:textId="77777777" w:rsidTr="00023F75">
        <w:tc>
          <w:tcPr>
            <w:tcW w:w="5511" w:type="dxa"/>
            <w:tcBorders>
              <w:bottom w:val="single" w:sz="18" w:space="0" w:color="FFFFFF" w:themeColor="background1"/>
            </w:tcBorders>
            <w:vAlign w:val="center"/>
          </w:tcPr>
          <w:p w14:paraId="0EB7BA41" w14:textId="77777777" w:rsidR="00AC3A51" w:rsidRPr="00B22AD1" w:rsidRDefault="00AC3A51" w:rsidP="002044BE">
            <w:pPr>
              <w:rPr>
                <w:sz w:val="20"/>
              </w:rPr>
            </w:pPr>
            <w:r w:rsidRPr="00B22AD1">
              <w:rPr>
                <w:sz w:val="20"/>
              </w:rPr>
              <w:t>WLWK-PLRO132 - Liczba obiektów dostosowanych do potrzeb osób z niepełnosprawnościami (EFRR/FST/FS)</w:t>
            </w:r>
          </w:p>
        </w:tc>
        <w:tc>
          <w:tcPr>
            <w:tcW w:w="1147" w:type="dxa"/>
            <w:tcBorders>
              <w:bottom w:val="single" w:sz="18" w:space="0" w:color="FFFFFF" w:themeColor="background1"/>
            </w:tcBorders>
            <w:vAlign w:val="center"/>
          </w:tcPr>
          <w:p w14:paraId="39710A5C" w14:textId="77777777" w:rsidR="00AC3A51" w:rsidRPr="00B22AD1" w:rsidRDefault="00AC3A51" w:rsidP="002044BE">
            <w:pPr>
              <w:jc w:val="center"/>
              <w:rPr>
                <w:sz w:val="20"/>
              </w:rPr>
            </w:pPr>
            <w:r>
              <w:rPr>
                <w:sz w:val="20"/>
              </w:rPr>
              <w:t>obiekty</w:t>
            </w:r>
          </w:p>
        </w:tc>
        <w:tc>
          <w:tcPr>
            <w:tcW w:w="2404" w:type="dxa"/>
            <w:tcBorders>
              <w:bottom w:val="single" w:sz="18" w:space="0" w:color="FFFFFF" w:themeColor="background1"/>
            </w:tcBorders>
            <w:vAlign w:val="center"/>
          </w:tcPr>
          <w:p w14:paraId="40A72E7C" w14:textId="34AB68A3" w:rsidR="00AC3A51" w:rsidRPr="00B22AD1" w:rsidRDefault="00061830" w:rsidP="002044BE">
            <w:pPr>
              <w:jc w:val="center"/>
              <w:rPr>
                <w:sz w:val="20"/>
              </w:rPr>
            </w:pPr>
            <w:r>
              <w:rPr>
                <w:sz w:val="20"/>
              </w:rPr>
              <w:t>2</w:t>
            </w:r>
          </w:p>
        </w:tc>
      </w:tr>
      <w:tr w:rsidR="00AC3A51" w:rsidRPr="00B22AD1" w14:paraId="1727B045" w14:textId="77777777" w:rsidTr="003B4ACE">
        <w:trPr>
          <w:trHeight w:val="510"/>
        </w:trPr>
        <w:tc>
          <w:tcPr>
            <w:tcW w:w="906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0E6F6" w:themeFill="accent6" w:themeFillTint="33"/>
            <w:vAlign w:val="center"/>
          </w:tcPr>
          <w:p w14:paraId="1FABA6B8" w14:textId="1895E1A2" w:rsidR="00AC3A51" w:rsidRPr="00B22AD1" w:rsidRDefault="00AC3A51" w:rsidP="00AC3A51">
            <w:pPr>
              <w:jc w:val="center"/>
              <w:rPr>
                <w:sz w:val="20"/>
              </w:rPr>
            </w:pPr>
            <w:r w:rsidRPr="00B22AD1">
              <w:rPr>
                <w:sz w:val="20"/>
              </w:rPr>
              <w:t xml:space="preserve">2 Cel IIT </w:t>
            </w:r>
          </w:p>
        </w:tc>
      </w:tr>
      <w:tr w:rsidR="00AC3A51" w:rsidRPr="00B22AD1" w14:paraId="4416CD55" w14:textId="77777777" w:rsidTr="00023F75">
        <w:tc>
          <w:tcPr>
            <w:tcW w:w="5511" w:type="dxa"/>
            <w:vAlign w:val="center"/>
          </w:tcPr>
          <w:p w14:paraId="7CA7F905" w14:textId="77777777" w:rsidR="00AC3A51" w:rsidRPr="00B22AD1" w:rsidRDefault="00AC3A51" w:rsidP="002044BE">
            <w:pPr>
              <w:rPr>
                <w:sz w:val="20"/>
              </w:rPr>
            </w:pPr>
            <w:r w:rsidRPr="00B22AD1">
              <w:rPr>
                <w:sz w:val="20"/>
              </w:rPr>
              <w:t>RCO77 - Liczba obiektów kulturalnych i turystycznych objętych wsparciem</w:t>
            </w:r>
          </w:p>
        </w:tc>
        <w:tc>
          <w:tcPr>
            <w:tcW w:w="1147" w:type="dxa"/>
            <w:vAlign w:val="center"/>
          </w:tcPr>
          <w:p w14:paraId="53091DF1" w14:textId="77777777" w:rsidR="00AC3A51" w:rsidRPr="00B22AD1" w:rsidRDefault="00AC3A51" w:rsidP="002044BE">
            <w:pPr>
              <w:jc w:val="center"/>
              <w:rPr>
                <w:sz w:val="20"/>
              </w:rPr>
            </w:pPr>
            <w:r w:rsidRPr="00B22AD1">
              <w:rPr>
                <w:sz w:val="20"/>
              </w:rPr>
              <w:t>obiekty</w:t>
            </w:r>
          </w:p>
          <w:p w14:paraId="1FCE7A66" w14:textId="77777777" w:rsidR="00AC3A51" w:rsidRPr="00B22AD1" w:rsidRDefault="00AC3A51" w:rsidP="002044BE">
            <w:pPr>
              <w:jc w:val="center"/>
              <w:rPr>
                <w:sz w:val="20"/>
              </w:rPr>
            </w:pPr>
            <w:r w:rsidRPr="00B22AD1">
              <w:rPr>
                <w:sz w:val="20"/>
              </w:rPr>
              <w:t>kulturalne i</w:t>
            </w:r>
          </w:p>
          <w:p w14:paraId="4F3A5858" w14:textId="77777777" w:rsidR="00AC3A51" w:rsidRPr="00B22AD1" w:rsidRDefault="00AC3A51" w:rsidP="002044BE">
            <w:pPr>
              <w:jc w:val="center"/>
              <w:rPr>
                <w:sz w:val="20"/>
              </w:rPr>
            </w:pPr>
            <w:r w:rsidRPr="00B22AD1">
              <w:rPr>
                <w:sz w:val="20"/>
              </w:rPr>
              <w:t>turystyczne</w:t>
            </w:r>
          </w:p>
        </w:tc>
        <w:tc>
          <w:tcPr>
            <w:tcW w:w="2404" w:type="dxa"/>
            <w:vAlign w:val="center"/>
          </w:tcPr>
          <w:p w14:paraId="0C5C1824" w14:textId="5EB888BA" w:rsidR="00AC3A51" w:rsidRPr="00B22AD1" w:rsidRDefault="005940A6" w:rsidP="002044BE">
            <w:pPr>
              <w:jc w:val="center"/>
              <w:rPr>
                <w:sz w:val="20"/>
              </w:rPr>
            </w:pPr>
            <w:r>
              <w:rPr>
                <w:sz w:val="20"/>
              </w:rPr>
              <w:t>2</w:t>
            </w:r>
          </w:p>
        </w:tc>
      </w:tr>
      <w:tr w:rsidR="00AC3A51" w:rsidRPr="00B22AD1" w14:paraId="709987D5" w14:textId="77777777" w:rsidTr="00023F75">
        <w:tc>
          <w:tcPr>
            <w:tcW w:w="5511" w:type="dxa"/>
            <w:vAlign w:val="center"/>
          </w:tcPr>
          <w:p w14:paraId="39D00ED2" w14:textId="77777777" w:rsidR="00AC3A51" w:rsidRPr="00B22AD1" w:rsidRDefault="00AC3A51" w:rsidP="002044BE">
            <w:pPr>
              <w:rPr>
                <w:sz w:val="20"/>
              </w:rPr>
            </w:pPr>
            <w:r w:rsidRPr="00B22AD1">
              <w:rPr>
                <w:sz w:val="20"/>
              </w:rPr>
              <w:t>RCO74 - Ludność objęta projektami w ramach strategii zintegrowanego rozwoju terytorialnego</w:t>
            </w:r>
          </w:p>
        </w:tc>
        <w:tc>
          <w:tcPr>
            <w:tcW w:w="1147" w:type="dxa"/>
            <w:vAlign w:val="center"/>
          </w:tcPr>
          <w:p w14:paraId="7DD55910" w14:textId="77777777" w:rsidR="00AC3A51" w:rsidRPr="00B22AD1" w:rsidRDefault="00AC3A51" w:rsidP="002044BE">
            <w:pPr>
              <w:jc w:val="center"/>
              <w:rPr>
                <w:sz w:val="20"/>
              </w:rPr>
            </w:pPr>
            <w:r w:rsidRPr="00B22AD1">
              <w:rPr>
                <w:sz w:val="20"/>
              </w:rPr>
              <w:t>osoby</w:t>
            </w:r>
          </w:p>
        </w:tc>
        <w:tc>
          <w:tcPr>
            <w:tcW w:w="2404" w:type="dxa"/>
            <w:vAlign w:val="center"/>
          </w:tcPr>
          <w:p w14:paraId="7CC6C5A7" w14:textId="37E24D51" w:rsidR="00AC3A51" w:rsidRPr="00B22AD1" w:rsidRDefault="005940A6" w:rsidP="002044BE">
            <w:pPr>
              <w:jc w:val="center"/>
              <w:rPr>
                <w:sz w:val="20"/>
              </w:rPr>
            </w:pPr>
            <w:r w:rsidRPr="00061830">
              <w:rPr>
                <w:sz w:val="20"/>
              </w:rPr>
              <w:t>65 155</w:t>
            </w:r>
          </w:p>
        </w:tc>
      </w:tr>
      <w:tr w:rsidR="00AC3A51" w:rsidRPr="00B22AD1" w14:paraId="1452B5E3" w14:textId="77777777" w:rsidTr="00023F75">
        <w:tc>
          <w:tcPr>
            <w:tcW w:w="5511" w:type="dxa"/>
            <w:vAlign w:val="center"/>
          </w:tcPr>
          <w:p w14:paraId="4CFCF36F" w14:textId="77777777" w:rsidR="00AC3A51" w:rsidRPr="00B22AD1" w:rsidRDefault="00AC3A51" w:rsidP="002044BE">
            <w:pPr>
              <w:rPr>
                <w:sz w:val="20"/>
              </w:rPr>
            </w:pPr>
            <w:r w:rsidRPr="00B22AD1">
              <w:rPr>
                <w:sz w:val="20"/>
              </w:rPr>
              <w:t>RCO75 - Wspierane strategie zintegrowanego rozwoju terytorialnego</w:t>
            </w:r>
          </w:p>
        </w:tc>
        <w:tc>
          <w:tcPr>
            <w:tcW w:w="1147" w:type="dxa"/>
            <w:vAlign w:val="center"/>
          </w:tcPr>
          <w:p w14:paraId="1F13C94F" w14:textId="77777777" w:rsidR="00AC3A51" w:rsidRPr="00B22AD1" w:rsidRDefault="00AC3A51" w:rsidP="002044BE">
            <w:pPr>
              <w:jc w:val="center"/>
              <w:rPr>
                <w:sz w:val="20"/>
              </w:rPr>
            </w:pPr>
            <w:r>
              <w:rPr>
                <w:sz w:val="20"/>
              </w:rPr>
              <w:t>Projekty</w:t>
            </w:r>
          </w:p>
        </w:tc>
        <w:tc>
          <w:tcPr>
            <w:tcW w:w="2404" w:type="dxa"/>
            <w:vAlign w:val="center"/>
          </w:tcPr>
          <w:p w14:paraId="551EA953" w14:textId="7FBCEAA6" w:rsidR="00AC3A51" w:rsidRPr="00B22AD1" w:rsidRDefault="005940A6" w:rsidP="002044BE">
            <w:pPr>
              <w:jc w:val="center"/>
              <w:rPr>
                <w:sz w:val="20"/>
              </w:rPr>
            </w:pPr>
            <w:r>
              <w:rPr>
                <w:sz w:val="20"/>
              </w:rPr>
              <w:t>2</w:t>
            </w:r>
          </w:p>
        </w:tc>
      </w:tr>
      <w:tr w:rsidR="005940A6" w:rsidRPr="00B22AD1" w14:paraId="06F08D38" w14:textId="77777777" w:rsidTr="00023F75">
        <w:tc>
          <w:tcPr>
            <w:tcW w:w="5511" w:type="dxa"/>
            <w:vAlign w:val="center"/>
          </w:tcPr>
          <w:p w14:paraId="2612BC10" w14:textId="25A3A94C" w:rsidR="005940A6" w:rsidRPr="00B22AD1" w:rsidRDefault="005940A6" w:rsidP="005940A6">
            <w:pPr>
              <w:rPr>
                <w:sz w:val="20"/>
              </w:rPr>
            </w:pPr>
            <w:r w:rsidRPr="00B22AD1">
              <w:rPr>
                <w:sz w:val="20"/>
              </w:rPr>
              <w:t>WLWK-PLRO132 - Liczba obiektów dostosowanych do potrzeb osób z niepełnosprawnościami (EFRR/FST/FS)</w:t>
            </w:r>
          </w:p>
        </w:tc>
        <w:tc>
          <w:tcPr>
            <w:tcW w:w="1147" w:type="dxa"/>
            <w:vAlign w:val="center"/>
          </w:tcPr>
          <w:p w14:paraId="37C56F68" w14:textId="12A2854E" w:rsidR="005940A6" w:rsidRDefault="005940A6" w:rsidP="005940A6">
            <w:pPr>
              <w:jc w:val="center"/>
              <w:rPr>
                <w:sz w:val="20"/>
              </w:rPr>
            </w:pPr>
            <w:r>
              <w:rPr>
                <w:sz w:val="20"/>
              </w:rPr>
              <w:t>obiekty</w:t>
            </w:r>
          </w:p>
        </w:tc>
        <w:tc>
          <w:tcPr>
            <w:tcW w:w="2404" w:type="dxa"/>
            <w:vAlign w:val="center"/>
          </w:tcPr>
          <w:p w14:paraId="2C4FA819" w14:textId="7FE0B9C1" w:rsidR="005940A6" w:rsidRDefault="005940A6" w:rsidP="005940A6">
            <w:pPr>
              <w:jc w:val="center"/>
              <w:rPr>
                <w:sz w:val="20"/>
              </w:rPr>
            </w:pPr>
            <w:r>
              <w:rPr>
                <w:sz w:val="20"/>
              </w:rPr>
              <w:t>2</w:t>
            </w:r>
          </w:p>
        </w:tc>
      </w:tr>
    </w:tbl>
    <w:p w14:paraId="23E67376" w14:textId="0D1DC00D" w:rsidR="00AC3A51" w:rsidRDefault="00AC3A51" w:rsidP="00AC3A51">
      <w:pPr>
        <w:rPr>
          <w:b/>
          <w:color w:val="4A9A82" w:themeColor="accent3" w:themeShade="BF"/>
        </w:rPr>
      </w:pPr>
    </w:p>
    <w:p w14:paraId="5AE83FF8" w14:textId="77777777" w:rsidR="00AC3A51" w:rsidRPr="00023F75" w:rsidRDefault="00AC3A51" w:rsidP="00AC3A51">
      <w:pPr>
        <w:spacing w:before="240"/>
        <w:rPr>
          <w:b/>
          <w:color w:val="2683C6" w:themeColor="accent6"/>
        </w:rPr>
      </w:pPr>
      <w:r w:rsidRPr="00023F75">
        <w:rPr>
          <w:b/>
          <w:color w:val="2683C6" w:themeColor="accent6"/>
        </w:rPr>
        <w:t>Wskaźniki rezultatu</w:t>
      </w:r>
    </w:p>
    <w:p w14:paraId="1AEAFF96" w14:textId="77777777" w:rsidR="00AC3A51" w:rsidRDefault="00AC3A51" w:rsidP="00023F75">
      <w:pPr>
        <w:pStyle w:val="Legenda"/>
        <w:keepNext/>
        <w:spacing w:before="240" w:after="0"/>
      </w:pPr>
      <w:bookmarkStart w:id="24" w:name="_Toc168985452"/>
      <w:bookmarkStart w:id="25" w:name="_Toc181860167"/>
      <w:r>
        <w:t xml:space="preserve">Tabela </w:t>
      </w:r>
      <w:r w:rsidR="004D3018">
        <w:rPr>
          <w:noProof/>
        </w:rPr>
        <w:fldChar w:fldCharType="begin"/>
      </w:r>
      <w:r w:rsidR="004D3018">
        <w:rPr>
          <w:noProof/>
        </w:rPr>
        <w:instrText xml:space="preserve"> SEQ Tabela \* ARABIC </w:instrText>
      </w:r>
      <w:r w:rsidR="004D3018">
        <w:rPr>
          <w:noProof/>
        </w:rPr>
        <w:fldChar w:fldCharType="separate"/>
      </w:r>
      <w:r w:rsidR="003606AF">
        <w:rPr>
          <w:noProof/>
        </w:rPr>
        <w:t>6</w:t>
      </w:r>
      <w:r w:rsidR="004D3018">
        <w:rPr>
          <w:noProof/>
        </w:rPr>
        <w:fldChar w:fldCharType="end"/>
      </w:r>
      <w:r>
        <w:t xml:space="preserve"> Wskaźniki rezultatu</w:t>
      </w:r>
      <w:bookmarkEnd w:id="24"/>
      <w:bookmarkEnd w:id="25"/>
    </w:p>
    <w:tbl>
      <w:tblPr>
        <w:tblStyle w:val="Tabela-Siatka"/>
        <w:tblW w:w="9062" w:type="dxa"/>
        <w:tblInd w:w="-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40"/>
        <w:gridCol w:w="1418"/>
        <w:gridCol w:w="2404"/>
      </w:tblGrid>
      <w:tr w:rsidR="00023F75" w:rsidRPr="00B22AD1" w14:paraId="6D0A33EF" w14:textId="77777777" w:rsidTr="00023F75">
        <w:tc>
          <w:tcPr>
            <w:tcW w:w="5240" w:type="dxa"/>
            <w:tcBorders>
              <w:top w:val="single" w:sz="18" w:space="0" w:color="FFFFFF" w:themeColor="background1"/>
            </w:tcBorders>
            <w:shd w:val="clear" w:color="auto" w:fill="D9D9D9" w:themeFill="background1" w:themeFillShade="D9"/>
            <w:vAlign w:val="center"/>
          </w:tcPr>
          <w:p w14:paraId="5432AB4D" w14:textId="77777777" w:rsidR="00023F75" w:rsidRPr="00B22AD1" w:rsidRDefault="00023F75" w:rsidP="00B35C5B">
            <w:pPr>
              <w:jc w:val="center"/>
              <w:rPr>
                <w:sz w:val="20"/>
              </w:rPr>
            </w:pPr>
            <w:r w:rsidRPr="00B22AD1">
              <w:rPr>
                <w:sz w:val="20"/>
              </w:rPr>
              <w:t>Wskaźnik</w:t>
            </w:r>
          </w:p>
        </w:tc>
        <w:tc>
          <w:tcPr>
            <w:tcW w:w="1418" w:type="dxa"/>
            <w:tcBorders>
              <w:top w:val="single" w:sz="18" w:space="0" w:color="FFFFFF" w:themeColor="background1"/>
            </w:tcBorders>
            <w:shd w:val="clear" w:color="auto" w:fill="D9D9D9" w:themeFill="background1" w:themeFillShade="D9"/>
            <w:vAlign w:val="center"/>
          </w:tcPr>
          <w:p w14:paraId="36E2819D" w14:textId="77777777" w:rsidR="00023F75" w:rsidRPr="00B22AD1" w:rsidRDefault="00023F75" w:rsidP="00B35C5B">
            <w:pPr>
              <w:jc w:val="center"/>
              <w:rPr>
                <w:sz w:val="20"/>
              </w:rPr>
            </w:pPr>
            <w:r w:rsidRPr="00B22AD1">
              <w:rPr>
                <w:sz w:val="20"/>
              </w:rPr>
              <w:t>Jednostka miary</w:t>
            </w:r>
          </w:p>
        </w:tc>
        <w:tc>
          <w:tcPr>
            <w:tcW w:w="2404" w:type="dxa"/>
            <w:tcBorders>
              <w:top w:val="single" w:sz="18" w:space="0" w:color="FFFFFF" w:themeColor="background1"/>
            </w:tcBorders>
            <w:shd w:val="clear" w:color="auto" w:fill="D9D9D9" w:themeFill="background1" w:themeFillShade="D9"/>
            <w:vAlign w:val="center"/>
          </w:tcPr>
          <w:p w14:paraId="2A93394E" w14:textId="77777777" w:rsidR="00023F75" w:rsidRPr="00B22AD1" w:rsidRDefault="00023F75" w:rsidP="00B35C5B">
            <w:pPr>
              <w:jc w:val="center"/>
              <w:rPr>
                <w:sz w:val="20"/>
              </w:rPr>
            </w:pPr>
            <w:r w:rsidRPr="00EB560C">
              <w:rPr>
                <w:sz w:val="20"/>
              </w:rPr>
              <w:t xml:space="preserve">Skumulowana szacowana wartość docelowa wskaźnika </w:t>
            </w:r>
            <w:r>
              <w:rPr>
                <w:sz w:val="20"/>
              </w:rPr>
              <w:t>(2028</w:t>
            </w:r>
            <w:r w:rsidRPr="00B22AD1">
              <w:rPr>
                <w:sz w:val="20"/>
              </w:rPr>
              <w:t xml:space="preserve"> r.)</w:t>
            </w:r>
          </w:p>
        </w:tc>
      </w:tr>
      <w:tr w:rsidR="00AC3A51" w:rsidRPr="00B22AD1" w14:paraId="1491678F" w14:textId="77777777" w:rsidTr="003B4ACE">
        <w:trPr>
          <w:trHeight w:val="453"/>
        </w:trPr>
        <w:tc>
          <w:tcPr>
            <w:tcW w:w="906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74B5E4" w:themeFill="accent6" w:themeFillTint="99"/>
            <w:vAlign w:val="center"/>
          </w:tcPr>
          <w:p w14:paraId="445BE5F3" w14:textId="7CA7E3E3" w:rsidR="00AC3A51" w:rsidRPr="00B22AD1" w:rsidRDefault="00AC3A51" w:rsidP="00AC3A51">
            <w:pPr>
              <w:jc w:val="center"/>
              <w:rPr>
                <w:sz w:val="20"/>
              </w:rPr>
            </w:pPr>
            <w:r w:rsidRPr="00B22AD1">
              <w:rPr>
                <w:sz w:val="20"/>
              </w:rPr>
              <w:t xml:space="preserve">1 Cel IIT </w:t>
            </w:r>
          </w:p>
        </w:tc>
      </w:tr>
      <w:tr w:rsidR="00AC3A51" w:rsidRPr="00B22AD1" w14:paraId="56527103" w14:textId="77777777" w:rsidTr="00023F75">
        <w:tc>
          <w:tcPr>
            <w:tcW w:w="5240" w:type="dxa"/>
            <w:tcBorders>
              <w:bottom w:val="single" w:sz="4" w:space="0" w:color="BFBFBF" w:themeColor="background1" w:themeShade="BF"/>
            </w:tcBorders>
            <w:vAlign w:val="center"/>
          </w:tcPr>
          <w:p w14:paraId="421E1BDD" w14:textId="77777777" w:rsidR="00AC3A51" w:rsidRPr="00B22AD1" w:rsidRDefault="00AC3A51" w:rsidP="002044BE">
            <w:pPr>
              <w:rPr>
                <w:sz w:val="20"/>
              </w:rPr>
            </w:pPr>
            <w:r w:rsidRPr="00B22AD1">
              <w:rPr>
                <w:sz w:val="20"/>
              </w:rPr>
              <w:t>RCR77 - Liczba osób odwiedzających obiekty kulturalne i turystyczne objęte wsparciem</w:t>
            </w:r>
          </w:p>
        </w:tc>
        <w:tc>
          <w:tcPr>
            <w:tcW w:w="1418" w:type="dxa"/>
            <w:tcBorders>
              <w:bottom w:val="single" w:sz="4" w:space="0" w:color="BFBFBF" w:themeColor="background1" w:themeShade="BF"/>
            </w:tcBorders>
            <w:vAlign w:val="center"/>
          </w:tcPr>
          <w:p w14:paraId="181FBBF6" w14:textId="77777777" w:rsidR="00AC3A51" w:rsidRPr="00B22AD1" w:rsidRDefault="00AC3A51" w:rsidP="002044BE">
            <w:pPr>
              <w:jc w:val="center"/>
              <w:rPr>
                <w:sz w:val="20"/>
              </w:rPr>
            </w:pPr>
            <w:r w:rsidRPr="00B22AD1">
              <w:rPr>
                <w:sz w:val="20"/>
              </w:rPr>
              <w:t>odwiedzający/</w:t>
            </w:r>
          </w:p>
          <w:p w14:paraId="147A9B92" w14:textId="77777777" w:rsidR="00AC3A51" w:rsidRPr="00B22AD1" w:rsidRDefault="00AC3A51" w:rsidP="002044BE">
            <w:pPr>
              <w:jc w:val="center"/>
              <w:rPr>
                <w:sz w:val="20"/>
              </w:rPr>
            </w:pPr>
            <w:r w:rsidRPr="00B22AD1">
              <w:rPr>
                <w:sz w:val="20"/>
              </w:rPr>
              <w:t>rok</w:t>
            </w:r>
          </w:p>
        </w:tc>
        <w:tc>
          <w:tcPr>
            <w:tcW w:w="2404" w:type="dxa"/>
            <w:tcBorders>
              <w:bottom w:val="single" w:sz="4" w:space="0" w:color="BFBFBF" w:themeColor="background1" w:themeShade="BF"/>
            </w:tcBorders>
            <w:vAlign w:val="center"/>
          </w:tcPr>
          <w:p w14:paraId="3EAEE34A" w14:textId="0D3B837B" w:rsidR="00AC3A51" w:rsidRPr="00B22AD1" w:rsidRDefault="005940A6" w:rsidP="002044BE">
            <w:pPr>
              <w:jc w:val="center"/>
              <w:rPr>
                <w:sz w:val="20"/>
              </w:rPr>
            </w:pPr>
            <w:r w:rsidRPr="005940A6">
              <w:rPr>
                <w:sz w:val="20"/>
              </w:rPr>
              <w:t>161</w:t>
            </w:r>
            <w:r>
              <w:rPr>
                <w:sz w:val="20"/>
              </w:rPr>
              <w:t xml:space="preserve"> </w:t>
            </w:r>
            <w:r w:rsidRPr="005940A6">
              <w:rPr>
                <w:sz w:val="20"/>
              </w:rPr>
              <w:t>000</w:t>
            </w:r>
          </w:p>
        </w:tc>
      </w:tr>
      <w:tr w:rsidR="00364A23" w:rsidRPr="00B22AD1" w14:paraId="02A32741" w14:textId="77777777" w:rsidTr="00023F75">
        <w:tc>
          <w:tcPr>
            <w:tcW w:w="5240" w:type="dxa"/>
            <w:tcBorders>
              <w:bottom w:val="single" w:sz="18" w:space="0" w:color="FFFFFF" w:themeColor="background1"/>
            </w:tcBorders>
            <w:vAlign w:val="center"/>
          </w:tcPr>
          <w:p w14:paraId="0B221031" w14:textId="3B797C58" w:rsidR="00364A23" w:rsidRPr="00B22AD1" w:rsidRDefault="00364A23" w:rsidP="00364A23">
            <w:pPr>
              <w:rPr>
                <w:sz w:val="20"/>
              </w:rPr>
            </w:pPr>
            <w:r w:rsidRPr="00B22AD1">
              <w:rPr>
                <w:sz w:val="20"/>
              </w:rPr>
              <w:t>WLWK-PLRR062 - Roczna liczba turystów korzystających ze szlaków rowerowych</w:t>
            </w:r>
          </w:p>
        </w:tc>
        <w:tc>
          <w:tcPr>
            <w:tcW w:w="1418" w:type="dxa"/>
            <w:tcBorders>
              <w:bottom w:val="single" w:sz="18" w:space="0" w:color="FFFFFF" w:themeColor="background1"/>
            </w:tcBorders>
            <w:vAlign w:val="center"/>
          </w:tcPr>
          <w:p w14:paraId="34D3E312" w14:textId="3EA41EF3" w:rsidR="00364A23" w:rsidRPr="00B22AD1" w:rsidRDefault="00364A23" w:rsidP="00364A23">
            <w:pPr>
              <w:jc w:val="center"/>
              <w:rPr>
                <w:sz w:val="20"/>
              </w:rPr>
            </w:pPr>
            <w:r w:rsidRPr="009A71F6">
              <w:rPr>
                <w:sz w:val="20"/>
              </w:rPr>
              <w:t>Osoby/rok</w:t>
            </w:r>
          </w:p>
        </w:tc>
        <w:tc>
          <w:tcPr>
            <w:tcW w:w="2404" w:type="dxa"/>
            <w:tcBorders>
              <w:bottom w:val="single" w:sz="18" w:space="0" w:color="FFFFFF" w:themeColor="background1"/>
            </w:tcBorders>
            <w:vAlign w:val="center"/>
          </w:tcPr>
          <w:p w14:paraId="3FBAF704" w14:textId="38538A7D" w:rsidR="00364A23" w:rsidRPr="005940A6" w:rsidRDefault="009A71F6" w:rsidP="00364A23">
            <w:pPr>
              <w:jc w:val="center"/>
              <w:rPr>
                <w:sz w:val="20"/>
              </w:rPr>
            </w:pPr>
            <w:r>
              <w:rPr>
                <w:sz w:val="20"/>
              </w:rPr>
              <w:t>10 000</w:t>
            </w:r>
          </w:p>
        </w:tc>
      </w:tr>
      <w:tr w:rsidR="00364A23" w:rsidRPr="00B22AD1" w14:paraId="5D3DDC92" w14:textId="77777777" w:rsidTr="003B4ACE">
        <w:trPr>
          <w:trHeight w:val="454"/>
        </w:trPr>
        <w:tc>
          <w:tcPr>
            <w:tcW w:w="906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0E6F6" w:themeFill="accent6" w:themeFillTint="33"/>
            <w:vAlign w:val="center"/>
          </w:tcPr>
          <w:p w14:paraId="33C665D8" w14:textId="4FDE6590" w:rsidR="00364A23" w:rsidRPr="00B22AD1" w:rsidRDefault="00364A23" w:rsidP="00364A23">
            <w:pPr>
              <w:jc w:val="center"/>
              <w:rPr>
                <w:sz w:val="20"/>
              </w:rPr>
            </w:pPr>
            <w:r w:rsidRPr="00B22AD1">
              <w:rPr>
                <w:sz w:val="20"/>
              </w:rPr>
              <w:t xml:space="preserve">2 Cel IIT </w:t>
            </w:r>
          </w:p>
        </w:tc>
      </w:tr>
      <w:tr w:rsidR="00364A23" w:rsidRPr="00B22AD1" w14:paraId="408F766F" w14:textId="77777777" w:rsidTr="00023F75">
        <w:tc>
          <w:tcPr>
            <w:tcW w:w="5240" w:type="dxa"/>
            <w:tcBorders>
              <w:bottom w:val="single" w:sz="4" w:space="0" w:color="BFBFBF" w:themeColor="background1" w:themeShade="BF"/>
            </w:tcBorders>
            <w:vAlign w:val="center"/>
          </w:tcPr>
          <w:p w14:paraId="35CC890C" w14:textId="77777777" w:rsidR="00364A23" w:rsidRPr="00B22AD1" w:rsidRDefault="00364A23" w:rsidP="00364A23">
            <w:pPr>
              <w:rPr>
                <w:sz w:val="20"/>
              </w:rPr>
            </w:pPr>
            <w:r w:rsidRPr="00B22AD1">
              <w:rPr>
                <w:sz w:val="20"/>
              </w:rPr>
              <w:t>RCR77 - Liczba osób odwiedzających obiekty kulturalne i turystyczne objęte wsparciem</w:t>
            </w:r>
          </w:p>
        </w:tc>
        <w:tc>
          <w:tcPr>
            <w:tcW w:w="1418" w:type="dxa"/>
            <w:tcBorders>
              <w:bottom w:val="single" w:sz="4" w:space="0" w:color="BFBFBF" w:themeColor="background1" w:themeShade="BF"/>
            </w:tcBorders>
            <w:vAlign w:val="center"/>
          </w:tcPr>
          <w:p w14:paraId="02B266B5" w14:textId="77777777" w:rsidR="00364A23" w:rsidRPr="00B22AD1" w:rsidRDefault="00364A23" w:rsidP="00364A23">
            <w:pPr>
              <w:jc w:val="center"/>
              <w:rPr>
                <w:sz w:val="20"/>
              </w:rPr>
            </w:pPr>
            <w:r w:rsidRPr="00B22AD1">
              <w:rPr>
                <w:sz w:val="20"/>
              </w:rPr>
              <w:t>odwiedzający/</w:t>
            </w:r>
          </w:p>
          <w:p w14:paraId="111ADCF6" w14:textId="77777777" w:rsidR="00364A23" w:rsidRPr="00B22AD1" w:rsidRDefault="00364A23" w:rsidP="00364A23">
            <w:pPr>
              <w:jc w:val="center"/>
              <w:rPr>
                <w:sz w:val="20"/>
              </w:rPr>
            </w:pPr>
            <w:r w:rsidRPr="00B22AD1">
              <w:rPr>
                <w:sz w:val="20"/>
              </w:rPr>
              <w:t>rok</w:t>
            </w:r>
          </w:p>
        </w:tc>
        <w:tc>
          <w:tcPr>
            <w:tcW w:w="2404" w:type="dxa"/>
            <w:tcBorders>
              <w:bottom w:val="single" w:sz="4" w:space="0" w:color="BFBFBF" w:themeColor="background1" w:themeShade="BF"/>
            </w:tcBorders>
            <w:vAlign w:val="center"/>
          </w:tcPr>
          <w:p w14:paraId="4E9B8D7B" w14:textId="2887C61E" w:rsidR="00364A23" w:rsidRPr="00B22AD1" w:rsidRDefault="00364A23" w:rsidP="00364A23">
            <w:pPr>
              <w:jc w:val="center"/>
              <w:rPr>
                <w:sz w:val="20"/>
              </w:rPr>
            </w:pPr>
            <w:r w:rsidRPr="005940A6">
              <w:rPr>
                <w:sz w:val="20"/>
              </w:rPr>
              <w:t>7</w:t>
            </w:r>
            <w:r>
              <w:rPr>
                <w:sz w:val="20"/>
              </w:rPr>
              <w:t xml:space="preserve"> </w:t>
            </w:r>
            <w:r w:rsidRPr="005940A6">
              <w:rPr>
                <w:sz w:val="20"/>
              </w:rPr>
              <w:t>000</w:t>
            </w:r>
          </w:p>
        </w:tc>
      </w:tr>
    </w:tbl>
    <w:p w14:paraId="3D434755" w14:textId="77777777" w:rsidR="001A0168" w:rsidRDefault="001A0168" w:rsidP="00A103FC">
      <w:pPr>
        <w:spacing w:before="240" w:line="360" w:lineRule="auto"/>
        <w:jc w:val="both"/>
      </w:pPr>
      <w:r w:rsidRPr="00785C01">
        <w:t>Wynikiem prowadzonego monitoringu będzie zestawienie wskaźników dla poszczególnych</w:t>
      </w:r>
      <w:r>
        <w:t xml:space="preserve"> celów IIT</w:t>
      </w:r>
      <w:r w:rsidRPr="00785C01">
        <w:t>, których realizacja została podjęta w ramach każdego z celów strategicznych zapisanych w Strategii.</w:t>
      </w:r>
      <w:r>
        <w:t xml:space="preserve"> Dla każdego ze wskaźników określono skumulowaną szacowaną wartość docelową wskaźnika, jaka oczekiwana jest do osiągnięcia w perspektywie 2028 r.</w:t>
      </w:r>
    </w:p>
    <w:p w14:paraId="591449E4" w14:textId="2F633FCC" w:rsidR="001A0168" w:rsidRDefault="001A0168" w:rsidP="001A0168">
      <w:pPr>
        <w:spacing w:line="360" w:lineRule="auto"/>
        <w:jc w:val="both"/>
      </w:pPr>
      <w:r>
        <w:t xml:space="preserve">Za monitoring poszczególnych projektów będą odpowiadali ich realizatorzy (wnioskodawcy/ beneficjenci), którzy będą zobligowani do bieżącego </w:t>
      </w:r>
      <w:r w:rsidRPr="0024321F">
        <w:t>informowania</w:t>
      </w:r>
      <w:r>
        <w:t xml:space="preserve"> członków </w:t>
      </w:r>
      <w:r w:rsidR="00AC3A51">
        <w:t>Zespołu Operacyjnego</w:t>
      </w:r>
      <w:r>
        <w:t xml:space="preserve"> o postępach i stanie realizacji projektów.</w:t>
      </w:r>
      <w:r w:rsidRPr="0024321F">
        <w:t xml:space="preserve"> </w:t>
      </w:r>
    </w:p>
    <w:p w14:paraId="7A638AA3" w14:textId="68C98DC8" w:rsidR="001A0168" w:rsidRDefault="001A0168" w:rsidP="001A0168">
      <w:pPr>
        <w:spacing w:line="360" w:lineRule="auto"/>
        <w:jc w:val="both"/>
      </w:pPr>
      <w:r w:rsidRPr="0024321F">
        <w:t>Za monitorowanie realizacji strategii odpowiada</w:t>
      </w:r>
      <w:r>
        <w:t xml:space="preserve"> </w:t>
      </w:r>
      <w:r w:rsidR="00AC3A51">
        <w:t>Zespół Operacyjny, który</w:t>
      </w:r>
      <w:r>
        <w:t xml:space="preserve"> w oparciu o </w:t>
      </w:r>
      <w:r w:rsidR="00AC3A51">
        <w:t xml:space="preserve">dane od realizatorów projektów </w:t>
      </w:r>
      <w:r>
        <w:t>prowadzić będzie monitoring rezultatów wdrażania strategii.</w:t>
      </w:r>
      <w:r w:rsidRPr="0024321F">
        <w:t xml:space="preserve"> </w:t>
      </w:r>
      <w:r>
        <w:t xml:space="preserve">Partnerskie Gminy będą dokonywały przeglądu swoich działań podejmowanych w ramach strategii </w:t>
      </w:r>
      <w:r w:rsidR="00AC3A51">
        <w:t>każdego roku</w:t>
      </w:r>
      <w:r>
        <w:t xml:space="preserve">. </w:t>
      </w:r>
      <w:r w:rsidR="00AC3A51">
        <w:t xml:space="preserve">Dane </w:t>
      </w:r>
      <w:r>
        <w:t>w zakresie przedsięwzięć związanych z wdrażaniem strategii</w:t>
      </w:r>
      <w:r w:rsidR="00AC3A51" w:rsidRPr="00AC3A51">
        <w:t xml:space="preserve"> </w:t>
      </w:r>
      <w:r w:rsidR="00AC3A51">
        <w:t>zgromadzone w tym procesie</w:t>
      </w:r>
      <w:r>
        <w:t xml:space="preserve">, będą jednym ze źródeł danych monitoringowych. Dane te będą przedstawiane </w:t>
      </w:r>
      <w:r w:rsidR="00AC3A51">
        <w:t>Zespołowi Operacyjnemu</w:t>
      </w:r>
      <w:r>
        <w:t xml:space="preserve"> oraz publikowane w BIP partnerskich gmin w celu ich upowszechnienia wśród interesariuszy.</w:t>
      </w:r>
    </w:p>
    <w:p w14:paraId="7FDCB8BF" w14:textId="77777777" w:rsidR="001A0168" w:rsidRPr="001A0168" w:rsidRDefault="001A0168" w:rsidP="001A0168"/>
    <w:p w14:paraId="66CD8A7B" w14:textId="336DB716" w:rsidR="009F2E80" w:rsidRDefault="009B1037" w:rsidP="009F2E80">
      <w:pPr>
        <w:pStyle w:val="Nagwek2"/>
      </w:pPr>
      <w:bookmarkStart w:id="26" w:name="_Toc181691585"/>
      <w:r>
        <w:t xml:space="preserve">4.4 </w:t>
      </w:r>
      <w:r w:rsidR="009F2E80">
        <w:t>Plan finansowy</w:t>
      </w:r>
      <w:bookmarkEnd w:id="26"/>
    </w:p>
    <w:p w14:paraId="361D8A9A" w14:textId="381BA111" w:rsidR="002D31E8" w:rsidRDefault="002D31E8" w:rsidP="002D31E8">
      <w:pPr>
        <w:spacing w:line="360" w:lineRule="auto"/>
        <w:jc w:val="both"/>
      </w:pPr>
      <w:r w:rsidRPr="00860F09">
        <w:t xml:space="preserve">Założenia rozwojowe </w:t>
      </w:r>
      <w:r>
        <w:t>Strategii</w:t>
      </w:r>
      <w:r w:rsidRPr="009F2E80">
        <w:t xml:space="preserve"> Innego Instrumentu Terytorialnego dla obszarów Gminy Olkusz, Gminy Klucze i Gminy Bolesław</w:t>
      </w:r>
      <w:r>
        <w:t xml:space="preserve"> </w:t>
      </w:r>
      <w:r w:rsidRPr="00860F09">
        <w:t xml:space="preserve">odnoszą się do obszarów wsparcia realizowanych w ramach mechanizmu </w:t>
      </w:r>
      <w:r>
        <w:t>Innych Inwestycji Terytorialnych (I</w:t>
      </w:r>
      <w:r w:rsidRPr="00860F09">
        <w:t xml:space="preserve">IT), które </w:t>
      </w:r>
      <w:r>
        <w:t>wdrażane są</w:t>
      </w:r>
      <w:r w:rsidRPr="00860F09">
        <w:t xml:space="preserve"> w województwie małopolskim.</w:t>
      </w:r>
      <w:r>
        <w:t xml:space="preserve"> </w:t>
      </w:r>
      <w:r w:rsidR="00023F75">
        <w:t>Zgodnie z </w:t>
      </w:r>
      <w:r w:rsidRPr="00C26DDB">
        <w:t xml:space="preserve">założeniami FEM 2021-2027, z wykorzystaniem IIT wspierana będzie interwencja m.in. w ramach celu szczegółowego 5(i) </w:t>
      </w:r>
      <w:r w:rsidRPr="00C26DDB">
        <w:rPr>
          <w:i/>
        </w:rPr>
        <w:t>wspieranie zintegrowanego i sprzyjającego włączeniu społecznemu rozwoju społecznego, gospodarczego</w:t>
      </w:r>
      <w:r w:rsidRPr="006D35E0">
        <w:rPr>
          <w:i/>
        </w:rPr>
        <w:t xml:space="preserve"> i środowiskowego, kultury, dziedzictwa naturalnego, zrównoważonej turystyki i bezpieczeństwa na obszarach miejskich</w:t>
      </w:r>
      <w:r>
        <w:t xml:space="preserve"> zaplanowano wsparcie interwencji na poziomie lokalnym i ponadlokalnym (tj. na poziomie gmin i powiatów), która ma na celu zwiększanie wpływu wspólnot lokalnych głównie na rozwój obszarów miejskich. W związku z tym, głównym źródłem finansowania przedsięwzięć zaplanowanych w ramach </w:t>
      </w:r>
      <w:r w:rsidRPr="00860F09">
        <w:t xml:space="preserve">Strategii </w:t>
      </w:r>
      <w:r>
        <w:t>IIT są środki z Programu Fundusze Europejskie dla Małopolski 2021-2027.</w:t>
      </w:r>
    </w:p>
    <w:p w14:paraId="74A6BADC" w14:textId="77777777" w:rsidR="00015159" w:rsidRDefault="00015159"/>
    <w:p w14:paraId="407B8EA2" w14:textId="77777777" w:rsidR="00015159" w:rsidRDefault="00015159">
      <w:r>
        <w:br w:type="page"/>
      </w:r>
    </w:p>
    <w:p w14:paraId="33CBFD7C" w14:textId="77777777" w:rsidR="00015159" w:rsidRDefault="00015159">
      <w:pPr>
        <w:sectPr w:rsidR="00015159">
          <w:pgSz w:w="11906" w:h="16838"/>
          <w:pgMar w:top="1417" w:right="1417" w:bottom="1417" w:left="1417" w:header="708" w:footer="708" w:gutter="0"/>
          <w:cols w:space="708"/>
          <w:docGrid w:linePitch="360"/>
        </w:sectPr>
      </w:pPr>
    </w:p>
    <w:p w14:paraId="02F12ED8" w14:textId="77777777" w:rsidR="00015159" w:rsidRDefault="00015159" w:rsidP="00023F75">
      <w:pPr>
        <w:pStyle w:val="Legenda"/>
        <w:keepNext/>
        <w:spacing w:after="0"/>
      </w:pPr>
      <w:bookmarkStart w:id="27" w:name="_Toc168985453"/>
      <w:bookmarkStart w:id="28" w:name="_Toc181860168"/>
      <w:r>
        <w:t xml:space="preserve">Tabela </w:t>
      </w:r>
      <w:r w:rsidR="004D3018">
        <w:rPr>
          <w:noProof/>
        </w:rPr>
        <w:fldChar w:fldCharType="begin"/>
      </w:r>
      <w:r w:rsidR="004D3018">
        <w:rPr>
          <w:noProof/>
        </w:rPr>
        <w:instrText xml:space="preserve"> SEQ Tabela \* ARABIC </w:instrText>
      </w:r>
      <w:r w:rsidR="004D3018">
        <w:rPr>
          <w:noProof/>
        </w:rPr>
        <w:fldChar w:fldCharType="separate"/>
      </w:r>
      <w:r w:rsidR="003606AF">
        <w:rPr>
          <w:noProof/>
        </w:rPr>
        <w:t>7</w:t>
      </w:r>
      <w:r w:rsidR="004D3018">
        <w:rPr>
          <w:noProof/>
        </w:rPr>
        <w:fldChar w:fldCharType="end"/>
      </w:r>
      <w:r>
        <w:t xml:space="preserve"> Plan finansowy</w:t>
      </w:r>
      <w:bookmarkEnd w:id="27"/>
      <w:bookmarkEnd w:id="28"/>
    </w:p>
    <w:tbl>
      <w:tblPr>
        <w:tblStyle w:val="Tabela-Siatka"/>
        <w:tblW w:w="1402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2268"/>
        <w:gridCol w:w="4536"/>
        <w:gridCol w:w="2268"/>
        <w:gridCol w:w="2410"/>
      </w:tblGrid>
      <w:tr w:rsidR="00015159" w:rsidRPr="00B22AD1" w14:paraId="4B346DA2" w14:textId="77777777" w:rsidTr="003B4ACE">
        <w:tc>
          <w:tcPr>
            <w:tcW w:w="2547" w:type="dxa"/>
            <w:tcBorders>
              <w:top w:val="single" w:sz="18" w:space="0" w:color="FFFFFF" w:themeColor="background1"/>
            </w:tcBorders>
            <w:shd w:val="clear" w:color="auto" w:fill="D0E6F6" w:themeFill="accent6" w:themeFillTint="33"/>
            <w:vAlign w:val="center"/>
          </w:tcPr>
          <w:p w14:paraId="799EC611" w14:textId="77777777" w:rsidR="00015159" w:rsidRPr="00B22AD1" w:rsidRDefault="00015159" w:rsidP="002044BE">
            <w:pPr>
              <w:jc w:val="center"/>
              <w:rPr>
                <w:sz w:val="20"/>
              </w:rPr>
            </w:pPr>
            <w:r>
              <w:rPr>
                <w:sz w:val="20"/>
              </w:rPr>
              <w:t>Cel IIT</w:t>
            </w:r>
          </w:p>
        </w:tc>
        <w:tc>
          <w:tcPr>
            <w:tcW w:w="2268" w:type="dxa"/>
            <w:tcBorders>
              <w:top w:val="single" w:sz="18" w:space="0" w:color="FFFFFF" w:themeColor="background1"/>
            </w:tcBorders>
            <w:shd w:val="clear" w:color="auto" w:fill="D0E6F6" w:themeFill="accent6" w:themeFillTint="33"/>
            <w:vAlign w:val="center"/>
          </w:tcPr>
          <w:p w14:paraId="5B2183D2" w14:textId="77777777" w:rsidR="00015159" w:rsidRDefault="00015159" w:rsidP="002044BE">
            <w:pPr>
              <w:jc w:val="center"/>
              <w:rPr>
                <w:sz w:val="20"/>
              </w:rPr>
            </w:pPr>
            <w:r w:rsidRPr="00B544AC">
              <w:rPr>
                <w:sz w:val="20"/>
              </w:rPr>
              <w:t>Przedsięwzięcia zintegrowane realizujące cele IIT</w:t>
            </w:r>
          </w:p>
        </w:tc>
        <w:tc>
          <w:tcPr>
            <w:tcW w:w="4536" w:type="dxa"/>
            <w:tcBorders>
              <w:top w:val="single" w:sz="18" w:space="0" w:color="FFFFFF" w:themeColor="background1"/>
            </w:tcBorders>
            <w:shd w:val="clear" w:color="auto" w:fill="D0E6F6" w:themeFill="accent6" w:themeFillTint="33"/>
            <w:vAlign w:val="center"/>
          </w:tcPr>
          <w:p w14:paraId="2FCAF39F" w14:textId="77777777" w:rsidR="00015159" w:rsidRDefault="00015159" w:rsidP="002044BE">
            <w:pPr>
              <w:jc w:val="center"/>
              <w:rPr>
                <w:sz w:val="20"/>
              </w:rPr>
            </w:pPr>
            <w:r w:rsidRPr="00B544AC">
              <w:rPr>
                <w:sz w:val="20"/>
              </w:rPr>
              <w:t>Projekty – zakresy przedsięwzięć zintegrowanych</w:t>
            </w:r>
          </w:p>
        </w:tc>
        <w:tc>
          <w:tcPr>
            <w:tcW w:w="2268" w:type="dxa"/>
            <w:tcBorders>
              <w:top w:val="single" w:sz="18" w:space="0" w:color="FFFFFF" w:themeColor="background1"/>
            </w:tcBorders>
            <w:shd w:val="clear" w:color="auto" w:fill="D0E6F6" w:themeFill="accent6" w:themeFillTint="33"/>
            <w:vAlign w:val="center"/>
          </w:tcPr>
          <w:p w14:paraId="17F0D68F" w14:textId="77777777" w:rsidR="00015159" w:rsidRPr="00B22AD1" w:rsidRDefault="00015159" w:rsidP="002044BE">
            <w:pPr>
              <w:jc w:val="center"/>
              <w:rPr>
                <w:sz w:val="20"/>
              </w:rPr>
            </w:pPr>
            <w:r>
              <w:rPr>
                <w:sz w:val="20"/>
              </w:rPr>
              <w:t>Szacowana wartość całkowita projektu (PLN)*</w:t>
            </w:r>
          </w:p>
        </w:tc>
        <w:tc>
          <w:tcPr>
            <w:tcW w:w="2410" w:type="dxa"/>
            <w:tcBorders>
              <w:top w:val="single" w:sz="18" w:space="0" w:color="FFFFFF" w:themeColor="background1"/>
            </w:tcBorders>
            <w:shd w:val="clear" w:color="auto" w:fill="D0E6F6" w:themeFill="accent6" w:themeFillTint="33"/>
            <w:vAlign w:val="center"/>
          </w:tcPr>
          <w:p w14:paraId="0D63DD7B" w14:textId="77777777" w:rsidR="00015159" w:rsidRPr="00B22AD1" w:rsidRDefault="00015159" w:rsidP="002044BE">
            <w:pPr>
              <w:jc w:val="center"/>
              <w:rPr>
                <w:sz w:val="20"/>
              </w:rPr>
            </w:pPr>
            <w:r>
              <w:rPr>
                <w:sz w:val="20"/>
              </w:rPr>
              <w:t xml:space="preserve">Szacowana wartość </w:t>
            </w:r>
            <w:r w:rsidRPr="00B544AC">
              <w:rPr>
                <w:sz w:val="20"/>
              </w:rPr>
              <w:t>wkładu UE (</w:t>
            </w:r>
            <w:r>
              <w:rPr>
                <w:sz w:val="20"/>
              </w:rPr>
              <w:t>EUR</w:t>
            </w:r>
            <w:r w:rsidRPr="00B544AC">
              <w:rPr>
                <w:sz w:val="20"/>
              </w:rPr>
              <w:t>)*</w:t>
            </w:r>
          </w:p>
        </w:tc>
      </w:tr>
      <w:tr w:rsidR="0037092C" w:rsidRPr="00B22AD1" w14:paraId="50FC9459" w14:textId="77777777" w:rsidTr="0037092C">
        <w:tc>
          <w:tcPr>
            <w:tcW w:w="2547" w:type="dxa"/>
            <w:vMerge w:val="restart"/>
            <w:vAlign w:val="center"/>
          </w:tcPr>
          <w:p w14:paraId="355EB14D" w14:textId="791E381A" w:rsidR="0037092C" w:rsidRPr="00B22AD1" w:rsidRDefault="0037092C" w:rsidP="0037092C">
            <w:pPr>
              <w:jc w:val="center"/>
              <w:rPr>
                <w:sz w:val="20"/>
              </w:rPr>
            </w:pPr>
            <w:r w:rsidRPr="00B544AC">
              <w:rPr>
                <w:sz w:val="20"/>
              </w:rPr>
              <w:t xml:space="preserve">1 Cel IIT </w:t>
            </w:r>
          </w:p>
        </w:tc>
        <w:tc>
          <w:tcPr>
            <w:tcW w:w="2268" w:type="dxa"/>
            <w:vMerge w:val="restart"/>
            <w:vAlign w:val="center"/>
          </w:tcPr>
          <w:p w14:paraId="0CC49B76" w14:textId="56724B35" w:rsidR="0037092C" w:rsidRPr="00B22AD1" w:rsidRDefault="0037092C" w:rsidP="0037092C">
            <w:pPr>
              <w:jc w:val="center"/>
              <w:rPr>
                <w:sz w:val="20"/>
              </w:rPr>
            </w:pPr>
            <w:r w:rsidRPr="0037092C">
              <w:rPr>
                <w:sz w:val="20"/>
              </w:rPr>
              <w:t>ROZWÓJ</w:t>
            </w:r>
            <w:r>
              <w:rPr>
                <w:sz w:val="20"/>
              </w:rPr>
              <w:t xml:space="preserve"> OFERTY TURYSTYCZNEJ OF OLKUSZA</w:t>
            </w:r>
          </w:p>
        </w:tc>
        <w:tc>
          <w:tcPr>
            <w:tcW w:w="4536" w:type="dxa"/>
            <w:vAlign w:val="center"/>
          </w:tcPr>
          <w:p w14:paraId="6D8CB217" w14:textId="23753AAF" w:rsidR="0037092C" w:rsidRPr="00B22AD1" w:rsidRDefault="0037092C" w:rsidP="0037092C">
            <w:pPr>
              <w:jc w:val="center"/>
              <w:rPr>
                <w:sz w:val="20"/>
              </w:rPr>
            </w:pPr>
            <w:r w:rsidRPr="0037092C">
              <w:rPr>
                <w:sz w:val="20"/>
              </w:rPr>
              <w:t>Przeniesienie wieży szybowej Dąbrówka i jej aranżacja na wieżę widokową na Pustyni Błędowskiej</w:t>
            </w:r>
          </w:p>
        </w:tc>
        <w:tc>
          <w:tcPr>
            <w:tcW w:w="2268" w:type="dxa"/>
            <w:vAlign w:val="center"/>
          </w:tcPr>
          <w:p w14:paraId="49990D59" w14:textId="32AB98C5" w:rsidR="0037092C" w:rsidRPr="00B22AD1" w:rsidRDefault="0037092C" w:rsidP="0037092C">
            <w:pPr>
              <w:jc w:val="center"/>
              <w:rPr>
                <w:sz w:val="20"/>
              </w:rPr>
            </w:pPr>
            <w:r w:rsidRPr="0037092C">
              <w:rPr>
                <w:sz w:val="20"/>
              </w:rPr>
              <w:t>15 000 000,00</w:t>
            </w:r>
          </w:p>
        </w:tc>
        <w:tc>
          <w:tcPr>
            <w:tcW w:w="2410" w:type="dxa"/>
            <w:vAlign w:val="center"/>
          </w:tcPr>
          <w:p w14:paraId="0FA1E5E1" w14:textId="1A325168" w:rsidR="0037092C" w:rsidRPr="00B22AD1" w:rsidRDefault="00E56580" w:rsidP="0037092C">
            <w:pPr>
              <w:jc w:val="center"/>
              <w:rPr>
                <w:sz w:val="20"/>
              </w:rPr>
            </w:pPr>
            <w:r>
              <w:rPr>
                <w:sz w:val="20"/>
              </w:rPr>
              <w:t>2 960 640,89</w:t>
            </w:r>
          </w:p>
        </w:tc>
      </w:tr>
      <w:tr w:rsidR="0037092C" w:rsidRPr="00B22AD1" w14:paraId="547B2979" w14:textId="77777777" w:rsidTr="0037092C">
        <w:tc>
          <w:tcPr>
            <w:tcW w:w="2547" w:type="dxa"/>
            <w:vMerge/>
            <w:vAlign w:val="center"/>
          </w:tcPr>
          <w:p w14:paraId="04D3E93C" w14:textId="77777777" w:rsidR="0037092C" w:rsidRPr="00B22AD1" w:rsidRDefault="0037092C" w:rsidP="0037092C">
            <w:pPr>
              <w:jc w:val="center"/>
              <w:rPr>
                <w:sz w:val="20"/>
              </w:rPr>
            </w:pPr>
          </w:p>
        </w:tc>
        <w:tc>
          <w:tcPr>
            <w:tcW w:w="2268" w:type="dxa"/>
            <w:vMerge/>
            <w:vAlign w:val="center"/>
          </w:tcPr>
          <w:p w14:paraId="50A76089" w14:textId="77777777" w:rsidR="0037092C" w:rsidRPr="00B22AD1" w:rsidRDefault="0037092C" w:rsidP="0037092C">
            <w:pPr>
              <w:jc w:val="center"/>
              <w:rPr>
                <w:sz w:val="20"/>
              </w:rPr>
            </w:pPr>
          </w:p>
        </w:tc>
        <w:tc>
          <w:tcPr>
            <w:tcW w:w="4536" w:type="dxa"/>
            <w:vAlign w:val="center"/>
          </w:tcPr>
          <w:p w14:paraId="402F5B62" w14:textId="63590A36" w:rsidR="0037092C" w:rsidRPr="00B22AD1" w:rsidRDefault="0037092C" w:rsidP="0037092C">
            <w:pPr>
              <w:jc w:val="center"/>
              <w:rPr>
                <w:sz w:val="20"/>
              </w:rPr>
            </w:pPr>
            <w:r w:rsidRPr="0037092C">
              <w:rPr>
                <w:sz w:val="20"/>
              </w:rPr>
              <w:t>Gościniec rycerski u stóp zamku Rabsztyn</w:t>
            </w:r>
          </w:p>
        </w:tc>
        <w:tc>
          <w:tcPr>
            <w:tcW w:w="2268" w:type="dxa"/>
            <w:vAlign w:val="center"/>
          </w:tcPr>
          <w:p w14:paraId="73D1A2DA" w14:textId="089A132E" w:rsidR="0037092C" w:rsidRPr="00B22AD1" w:rsidRDefault="0037092C" w:rsidP="0037092C">
            <w:pPr>
              <w:jc w:val="center"/>
              <w:rPr>
                <w:sz w:val="20"/>
              </w:rPr>
            </w:pPr>
            <w:r w:rsidRPr="0037092C">
              <w:rPr>
                <w:sz w:val="20"/>
              </w:rPr>
              <w:t>4 000 000,00</w:t>
            </w:r>
          </w:p>
        </w:tc>
        <w:tc>
          <w:tcPr>
            <w:tcW w:w="2410" w:type="dxa"/>
            <w:vAlign w:val="center"/>
          </w:tcPr>
          <w:p w14:paraId="4C6186BF" w14:textId="36243B76" w:rsidR="0037092C" w:rsidRPr="00B22AD1" w:rsidRDefault="00E56580" w:rsidP="0037092C">
            <w:pPr>
              <w:jc w:val="center"/>
              <w:rPr>
                <w:sz w:val="20"/>
              </w:rPr>
            </w:pPr>
            <w:r>
              <w:rPr>
                <w:sz w:val="20"/>
              </w:rPr>
              <w:t>789 504,24</w:t>
            </w:r>
          </w:p>
        </w:tc>
      </w:tr>
      <w:tr w:rsidR="0037092C" w:rsidRPr="00B22AD1" w14:paraId="616C9A55" w14:textId="77777777" w:rsidTr="0037092C">
        <w:tc>
          <w:tcPr>
            <w:tcW w:w="2547" w:type="dxa"/>
            <w:vMerge/>
            <w:vAlign w:val="center"/>
          </w:tcPr>
          <w:p w14:paraId="4D1FACBA" w14:textId="77777777" w:rsidR="0037092C" w:rsidRPr="00B22AD1" w:rsidRDefault="0037092C" w:rsidP="0037092C">
            <w:pPr>
              <w:jc w:val="center"/>
              <w:rPr>
                <w:sz w:val="20"/>
              </w:rPr>
            </w:pPr>
          </w:p>
        </w:tc>
        <w:tc>
          <w:tcPr>
            <w:tcW w:w="2268" w:type="dxa"/>
            <w:vAlign w:val="center"/>
          </w:tcPr>
          <w:p w14:paraId="53323808" w14:textId="36CB0891" w:rsidR="0037092C" w:rsidRPr="00B22AD1" w:rsidRDefault="0037092C" w:rsidP="0037092C">
            <w:pPr>
              <w:jc w:val="center"/>
              <w:rPr>
                <w:sz w:val="20"/>
              </w:rPr>
            </w:pPr>
            <w:r w:rsidRPr="0037092C">
              <w:rPr>
                <w:sz w:val="20"/>
              </w:rPr>
              <w:t>ROZWÓJ SIECIOWEJ INFRASTRUKTURY TURYSTYCZNEJ OF OLKUSZA</w:t>
            </w:r>
          </w:p>
        </w:tc>
        <w:tc>
          <w:tcPr>
            <w:tcW w:w="4536" w:type="dxa"/>
            <w:vAlign w:val="center"/>
          </w:tcPr>
          <w:p w14:paraId="489C6A4A" w14:textId="655229B6" w:rsidR="0037092C" w:rsidRPr="0037092C" w:rsidRDefault="00E3785C" w:rsidP="0037092C">
            <w:pPr>
              <w:jc w:val="center"/>
              <w:rPr>
                <w:sz w:val="20"/>
              </w:rPr>
            </w:pPr>
            <w:r w:rsidRPr="00E3785C">
              <w:rPr>
                <w:sz w:val="20"/>
              </w:rPr>
              <w:t>Szlak turystyczny „Śladami dawnego górnictwa Ziemi Olkusko-Bolesławskiej”</w:t>
            </w:r>
          </w:p>
        </w:tc>
        <w:tc>
          <w:tcPr>
            <w:tcW w:w="2268" w:type="dxa"/>
            <w:vAlign w:val="center"/>
          </w:tcPr>
          <w:p w14:paraId="33A67B7D" w14:textId="7BA0BDAD" w:rsidR="0037092C" w:rsidRPr="00B22AD1" w:rsidRDefault="0037092C" w:rsidP="0037092C">
            <w:pPr>
              <w:jc w:val="center"/>
              <w:rPr>
                <w:sz w:val="20"/>
              </w:rPr>
            </w:pPr>
            <w:r w:rsidRPr="0037092C">
              <w:rPr>
                <w:sz w:val="20"/>
              </w:rPr>
              <w:t>1 500 000,00</w:t>
            </w:r>
          </w:p>
        </w:tc>
        <w:tc>
          <w:tcPr>
            <w:tcW w:w="2410" w:type="dxa"/>
            <w:vAlign w:val="center"/>
          </w:tcPr>
          <w:p w14:paraId="14DC45C0" w14:textId="1DDF9AA9" w:rsidR="0037092C" w:rsidRPr="00B22AD1" w:rsidRDefault="00E56580" w:rsidP="0037092C">
            <w:pPr>
              <w:jc w:val="center"/>
              <w:rPr>
                <w:sz w:val="20"/>
              </w:rPr>
            </w:pPr>
            <w:r>
              <w:rPr>
                <w:sz w:val="20"/>
              </w:rPr>
              <w:t>296 064,09</w:t>
            </w:r>
          </w:p>
        </w:tc>
      </w:tr>
      <w:tr w:rsidR="0037092C" w:rsidRPr="00B22AD1" w14:paraId="22445D8C" w14:textId="77777777" w:rsidTr="0037092C">
        <w:tc>
          <w:tcPr>
            <w:tcW w:w="2547" w:type="dxa"/>
            <w:vMerge w:val="restart"/>
            <w:vAlign w:val="center"/>
          </w:tcPr>
          <w:p w14:paraId="7BFB8EDA" w14:textId="175B2E84" w:rsidR="0037092C" w:rsidRPr="00B22AD1" w:rsidRDefault="0037092C" w:rsidP="0037092C">
            <w:pPr>
              <w:jc w:val="center"/>
              <w:rPr>
                <w:sz w:val="20"/>
              </w:rPr>
            </w:pPr>
            <w:r w:rsidRPr="00B544AC">
              <w:rPr>
                <w:sz w:val="20"/>
              </w:rPr>
              <w:t>2 Cel IIT</w:t>
            </w:r>
            <w:r w:rsidRPr="00B544AC">
              <w:rPr>
                <w:sz w:val="20"/>
              </w:rPr>
              <w:tab/>
              <w:t xml:space="preserve"> </w:t>
            </w:r>
          </w:p>
        </w:tc>
        <w:tc>
          <w:tcPr>
            <w:tcW w:w="2268" w:type="dxa"/>
            <w:vMerge w:val="restart"/>
            <w:vAlign w:val="center"/>
          </w:tcPr>
          <w:p w14:paraId="7CA44DD5" w14:textId="16B29656" w:rsidR="0037092C" w:rsidRPr="00B22AD1" w:rsidRDefault="0037092C" w:rsidP="0037092C">
            <w:pPr>
              <w:jc w:val="center"/>
              <w:rPr>
                <w:sz w:val="20"/>
              </w:rPr>
            </w:pPr>
            <w:r w:rsidRPr="0037092C">
              <w:rPr>
                <w:sz w:val="20"/>
              </w:rPr>
              <w:t>ROZWÓ</w:t>
            </w:r>
            <w:r>
              <w:rPr>
                <w:sz w:val="20"/>
              </w:rPr>
              <w:t>J OFERTY KULTURALNEJ OF OLKUSZA</w:t>
            </w:r>
          </w:p>
        </w:tc>
        <w:tc>
          <w:tcPr>
            <w:tcW w:w="4536" w:type="dxa"/>
            <w:vAlign w:val="center"/>
          </w:tcPr>
          <w:p w14:paraId="464AEDDF" w14:textId="5C3E1158" w:rsidR="0037092C" w:rsidRPr="00B22AD1" w:rsidRDefault="0037092C" w:rsidP="0037092C">
            <w:pPr>
              <w:jc w:val="center"/>
              <w:rPr>
                <w:sz w:val="20"/>
              </w:rPr>
            </w:pPr>
            <w:r w:rsidRPr="0037092C">
              <w:rPr>
                <w:sz w:val="20"/>
              </w:rPr>
              <w:t>Poprawa funkcjonalności Domu Kultury „Papiernik” w Kluczach poprzez rozbudowę sali widowiskowej o funkcje kina</w:t>
            </w:r>
          </w:p>
        </w:tc>
        <w:tc>
          <w:tcPr>
            <w:tcW w:w="2268" w:type="dxa"/>
            <w:vAlign w:val="center"/>
          </w:tcPr>
          <w:p w14:paraId="439469D7" w14:textId="7E8BA8FD" w:rsidR="0037092C" w:rsidRPr="00B22AD1" w:rsidRDefault="0037092C" w:rsidP="0037092C">
            <w:pPr>
              <w:jc w:val="center"/>
              <w:rPr>
                <w:sz w:val="20"/>
              </w:rPr>
            </w:pPr>
            <w:r w:rsidRPr="0037092C">
              <w:rPr>
                <w:sz w:val="20"/>
              </w:rPr>
              <w:t>700 000,00</w:t>
            </w:r>
          </w:p>
        </w:tc>
        <w:tc>
          <w:tcPr>
            <w:tcW w:w="2410" w:type="dxa"/>
            <w:vAlign w:val="center"/>
          </w:tcPr>
          <w:p w14:paraId="2FAD312D" w14:textId="52F8C643" w:rsidR="0037092C" w:rsidRPr="00B22AD1" w:rsidRDefault="00E56580" w:rsidP="0037092C">
            <w:pPr>
              <w:jc w:val="center"/>
              <w:rPr>
                <w:sz w:val="20"/>
              </w:rPr>
            </w:pPr>
            <w:r>
              <w:rPr>
                <w:sz w:val="20"/>
              </w:rPr>
              <w:t>138 163,24</w:t>
            </w:r>
          </w:p>
        </w:tc>
      </w:tr>
      <w:tr w:rsidR="0037092C" w:rsidRPr="00B22AD1" w14:paraId="664CB7D9" w14:textId="77777777" w:rsidTr="0037092C">
        <w:tc>
          <w:tcPr>
            <w:tcW w:w="2547" w:type="dxa"/>
            <w:vMerge/>
            <w:vAlign w:val="center"/>
          </w:tcPr>
          <w:p w14:paraId="5EB950C2" w14:textId="77777777" w:rsidR="0037092C" w:rsidRPr="00B544AC" w:rsidRDefault="0037092C" w:rsidP="0037092C">
            <w:pPr>
              <w:jc w:val="center"/>
              <w:rPr>
                <w:sz w:val="20"/>
              </w:rPr>
            </w:pPr>
          </w:p>
        </w:tc>
        <w:tc>
          <w:tcPr>
            <w:tcW w:w="2268" w:type="dxa"/>
            <w:vMerge/>
            <w:vAlign w:val="center"/>
          </w:tcPr>
          <w:p w14:paraId="065C0742" w14:textId="77777777" w:rsidR="0037092C" w:rsidRPr="00B22AD1" w:rsidRDefault="0037092C" w:rsidP="0037092C">
            <w:pPr>
              <w:jc w:val="center"/>
              <w:rPr>
                <w:sz w:val="20"/>
              </w:rPr>
            </w:pPr>
          </w:p>
        </w:tc>
        <w:tc>
          <w:tcPr>
            <w:tcW w:w="4536" w:type="dxa"/>
            <w:vAlign w:val="center"/>
          </w:tcPr>
          <w:p w14:paraId="138F2E38" w14:textId="0A07DDCD" w:rsidR="0037092C" w:rsidRPr="00B22AD1" w:rsidRDefault="00A63813" w:rsidP="0037092C">
            <w:pPr>
              <w:jc w:val="center"/>
              <w:rPr>
                <w:sz w:val="20"/>
              </w:rPr>
            </w:pPr>
            <w:r w:rsidRPr="00A63813">
              <w:rPr>
                <w:sz w:val="20"/>
              </w:rPr>
              <w:t>Remont i doposażenie zabytkowego dworku w Bolesławiu, na potrzeby rozwoju działalności Centrum Kultury</w:t>
            </w:r>
          </w:p>
        </w:tc>
        <w:tc>
          <w:tcPr>
            <w:tcW w:w="2268" w:type="dxa"/>
            <w:vAlign w:val="center"/>
          </w:tcPr>
          <w:p w14:paraId="76ECD981" w14:textId="08DAD85F" w:rsidR="0037092C" w:rsidRPr="00B22AD1" w:rsidRDefault="00B02AD2" w:rsidP="0037092C">
            <w:pPr>
              <w:jc w:val="center"/>
              <w:rPr>
                <w:sz w:val="20"/>
              </w:rPr>
            </w:pPr>
            <w:r>
              <w:rPr>
                <w:sz w:val="20"/>
              </w:rPr>
              <w:t>4 000 000,00</w:t>
            </w:r>
          </w:p>
        </w:tc>
        <w:tc>
          <w:tcPr>
            <w:tcW w:w="2410" w:type="dxa"/>
            <w:vAlign w:val="center"/>
          </w:tcPr>
          <w:p w14:paraId="77612EC8" w14:textId="36FEA85B" w:rsidR="0037092C" w:rsidRPr="00B22AD1" w:rsidRDefault="00E56580" w:rsidP="0037092C">
            <w:pPr>
              <w:jc w:val="center"/>
              <w:rPr>
                <w:sz w:val="20"/>
              </w:rPr>
            </w:pPr>
            <w:r>
              <w:rPr>
                <w:sz w:val="20"/>
              </w:rPr>
              <w:t>789 504,24</w:t>
            </w:r>
          </w:p>
        </w:tc>
      </w:tr>
    </w:tbl>
    <w:p w14:paraId="24876444" w14:textId="7AE3D16E" w:rsidR="00015159" w:rsidRPr="00B544AC" w:rsidRDefault="00015159" w:rsidP="00015159">
      <w:pPr>
        <w:spacing w:line="360" w:lineRule="auto"/>
        <w:jc w:val="both"/>
        <w:rPr>
          <w:sz w:val="20"/>
        </w:rPr>
      </w:pPr>
      <w:r w:rsidRPr="00B544AC">
        <w:rPr>
          <w:sz w:val="20"/>
        </w:rPr>
        <w:t>* Przyjęto średni kurs dla okresu 2016-2022 1 EUR=4,</w:t>
      </w:r>
      <w:r w:rsidR="00E57E0D">
        <w:rPr>
          <w:sz w:val="20"/>
        </w:rPr>
        <w:t>3065</w:t>
      </w:r>
      <w:r w:rsidRPr="00B544AC">
        <w:rPr>
          <w:sz w:val="20"/>
        </w:rPr>
        <w:t>.</w:t>
      </w:r>
    </w:p>
    <w:p w14:paraId="2773360E" w14:textId="49A9676A" w:rsidR="00015159" w:rsidRDefault="00015159">
      <w:pPr>
        <w:sectPr w:rsidR="00015159" w:rsidSect="00015159">
          <w:pgSz w:w="16838" w:h="11906" w:orient="landscape"/>
          <w:pgMar w:top="1418" w:right="1418" w:bottom="1418" w:left="1418" w:header="709" w:footer="709" w:gutter="0"/>
          <w:cols w:space="708"/>
          <w:docGrid w:linePitch="360"/>
        </w:sectPr>
      </w:pPr>
    </w:p>
    <w:p w14:paraId="445F971E" w14:textId="77777777" w:rsidR="003B4ACE" w:rsidRDefault="003B4ACE" w:rsidP="00BF485B">
      <w:pPr>
        <w:pStyle w:val="Nagwek1"/>
      </w:pPr>
      <w:bookmarkStart w:id="29" w:name="_Toc181691586"/>
      <w:r>
        <w:t>Spis tabel</w:t>
      </w:r>
      <w:bookmarkEnd w:id="29"/>
    </w:p>
    <w:p w14:paraId="46F356F3" w14:textId="77777777" w:rsidR="000F552E" w:rsidRDefault="003B4ACE">
      <w:pPr>
        <w:pStyle w:val="Spisilustracji"/>
        <w:tabs>
          <w:tab w:val="right" w:leader="dot" w:pos="9062"/>
        </w:tabs>
        <w:rPr>
          <w:rFonts w:eastAsiaTheme="minorEastAsia"/>
          <w:i w:val="0"/>
          <w:noProof/>
          <w:sz w:val="22"/>
          <w:lang w:eastAsia="pl-PL"/>
        </w:rPr>
      </w:pPr>
      <w:r>
        <w:fldChar w:fldCharType="begin"/>
      </w:r>
      <w:r>
        <w:instrText xml:space="preserve"> TOC \h \z \c "Tabela" </w:instrText>
      </w:r>
      <w:r>
        <w:fldChar w:fldCharType="separate"/>
      </w:r>
      <w:hyperlink w:anchor="_Toc181860162" w:history="1">
        <w:r w:rsidR="000F552E" w:rsidRPr="00E3432B">
          <w:rPr>
            <w:rStyle w:val="Hipercze"/>
            <w:noProof/>
          </w:rPr>
          <w:t>Tabela 1 Wskaźniki funkcjonalne, społeczno-gospodarcze i morfologiczne przyjęte do delimitacji miejskich obszarów funkcjonalnych ośrodków wojewódzkich</w:t>
        </w:r>
        <w:r w:rsidR="000F552E">
          <w:rPr>
            <w:noProof/>
            <w:webHidden/>
          </w:rPr>
          <w:tab/>
        </w:r>
        <w:r w:rsidR="000F552E">
          <w:rPr>
            <w:noProof/>
            <w:webHidden/>
          </w:rPr>
          <w:fldChar w:fldCharType="begin"/>
        </w:r>
        <w:r w:rsidR="000F552E">
          <w:rPr>
            <w:noProof/>
            <w:webHidden/>
          </w:rPr>
          <w:instrText xml:space="preserve"> PAGEREF _Toc181860162 \h </w:instrText>
        </w:r>
        <w:r w:rsidR="000F552E">
          <w:rPr>
            <w:noProof/>
            <w:webHidden/>
          </w:rPr>
        </w:r>
        <w:r w:rsidR="000F552E">
          <w:rPr>
            <w:noProof/>
            <w:webHidden/>
          </w:rPr>
          <w:fldChar w:fldCharType="separate"/>
        </w:r>
        <w:r w:rsidR="000F552E">
          <w:rPr>
            <w:noProof/>
            <w:webHidden/>
          </w:rPr>
          <w:t>6</w:t>
        </w:r>
        <w:r w:rsidR="000F552E">
          <w:rPr>
            <w:noProof/>
            <w:webHidden/>
          </w:rPr>
          <w:fldChar w:fldCharType="end"/>
        </w:r>
      </w:hyperlink>
    </w:p>
    <w:p w14:paraId="005B72C3" w14:textId="77777777" w:rsidR="000F552E" w:rsidRDefault="002F6F08">
      <w:pPr>
        <w:pStyle w:val="Spisilustracji"/>
        <w:tabs>
          <w:tab w:val="right" w:leader="dot" w:pos="9062"/>
        </w:tabs>
        <w:rPr>
          <w:rFonts w:eastAsiaTheme="minorEastAsia"/>
          <w:i w:val="0"/>
          <w:noProof/>
          <w:sz w:val="22"/>
          <w:lang w:eastAsia="pl-PL"/>
        </w:rPr>
      </w:pPr>
      <w:hyperlink w:anchor="_Toc181860163" w:history="1">
        <w:r w:rsidR="000F552E" w:rsidRPr="00E3432B">
          <w:rPr>
            <w:rStyle w:val="Hipercze"/>
            <w:noProof/>
          </w:rPr>
          <w:t>Tabela 2 Wyniki delimitacji w oparciu o dane z 2003 r., 2013 r., 2014 r. i 2016 r.</w:t>
        </w:r>
        <w:r w:rsidR="000F552E">
          <w:rPr>
            <w:noProof/>
            <w:webHidden/>
          </w:rPr>
          <w:tab/>
        </w:r>
        <w:r w:rsidR="000F552E">
          <w:rPr>
            <w:noProof/>
            <w:webHidden/>
          </w:rPr>
          <w:fldChar w:fldCharType="begin"/>
        </w:r>
        <w:r w:rsidR="000F552E">
          <w:rPr>
            <w:noProof/>
            <w:webHidden/>
          </w:rPr>
          <w:instrText xml:space="preserve"> PAGEREF _Toc181860163 \h </w:instrText>
        </w:r>
        <w:r w:rsidR="000F552E">
          <w:rPr>
            <w:noProof/>
            <w:webHidden/>
          </w:rPr>
        </w:r>
        <w:r w:rsidR="000F552E">
          <w:rPr>
            <w:noProof/>
            <w:webHidden/>
          </w:rPr>
          <w:fldChar w:fldCharType="separate"/>
        </w:r>
        <w:r w:rsidR="000F552E">
          <w:rPr>
            <w:noProof/>
            <w:webHidden/>
          </w:rPr>
          <w:t>8</w:t>
        </w:r>
        <w:r w:rsidR="000F552E">
          <w:rPr>
            <w:noProof/>
            <w:webHidden/>
          </w:rPr>
          <w:fldChar w:fldCharType="end"/>
        </w:r>
      </w:hyperlink>
    </w:p>
    <w:p w14:paraId="4F4E4515" w14:textId="77777777" w:rsidR="000F552E" w:rsidRDefault="002F6F08">
      <w:pPr>
        <w:pStyle w:val="Spisilustracji"/>
        <w:tabs>
          <w:tab w:val="right" w:leader="dot" w:pos="9062"/>
        </w:tabs>
        <w:rPr>
          <w:rFonts w:eastAsiaTheme="minorEastAsia"/>
          <w:i w:val="0"/>
          <w:noProof/>
          <w:sz w:val="22"/>
          <w:lang w:eastAsia="pl-PL"/>
        </w:rPr>
      </w:pPr>
      <w:hyperlink w:anchor="_Toc181860164" w:history="1">
        <w:r w:rsidR="000F552E" w:rsidRPr="00E3432B">
          <w:rPr>
            <w:rStyle w:val="Hipercze"/>
            <w:noProof/>
          </w:rPr>
          <w:t>Tabela 3 Wyniki delimitacji w oparciu o dane z 2021 r., 2022 r. i 2023 r.</w:t>
        </w:r>
        <w:r w:rsidR="000F552E">
          <w:rPr>
            <w:noProof/>
            <w:webHidden/>
          </w:rPr>
          <w:tab/>
        </w:r>
        <w:r w:rsidR="000F552E">
          <w:rPr>
            <w:noProof/>
            <w:webHidden/>
          </w:rPr>
          <w:fldChar w:fldCharType="begin"/>
        </w:r>
        <w:r w:rsidR="000F552E">
          <w:rPr>
            <w:noProof/>
            <w:webHidden/>
          </w:rPr>
          <w:instrText xml:space="preserve"> PAGEREF _Toc181860164 \h </w:instrText>
        </w:r>
        <w:r w:rsidR="000F552E">
          <w:rPr>
            <w:noProof/>
            <w:webHidden/>
          </w:rPr>
        </w:r>
        <w:r w:rsidR="000F552E">
          <w:rPr>
            <w:noProof/>
            <w:webHidden/>
          </w:rPr>
          <w:fldChar w:fldCharType="separate"/>
        </w:r>
        <w:r w:rsidR="000F552E">
          <w:rPr>
            <w:noProof/>
            <w:webHidden/>
          </w:rPr>
          <w:t>8</w:t>
        </w:r>
        <w:r w:rsidR="000F552E">
          <w:rPr>
            <w:noProof/>
            <w:webHidden/>
          </w:rPr>
          <w:fldChar w:fldCharType="end"/>
        </w:r>
      </w:hyperlink>
    </w:p>
    <w:p w14:paraId="08BD10D9" w14:textId="77777777" w:rsidR="000F552E" w:rsidRDefault="002F6F08">
      <w:pPr>
        <w:pStyle w:val="Spisilustracji"/>
        <w:tabs>
          <w:tab w:val="right" w:leader="dot" w:pos="9062"/>
        </w:tabs>
        <w:rPr>
          <w:rFonts w:eastAsiaTheme="minorEastAsia"/>
          <w:i w:val="0"/>
          <w:noProof/>
          <w:sz w:val="22"/>
          <w:lang w:eastAsia="pl-PL"/>
        </w:rPr>
      </w:pPr>
      <w:hyperlink w:anchor="_Toc181860165" w:history="1">
        <w:r w:rsidR="000F552E" w:rsidRPr="00E3432B">
          <w:rPr>
            <w:rStyle w:val="Hipercze"/>
            <w:noProof/>
          </w:rPr>
          <w:t>Tabela 4 Liczba ludności, powierzchnia i gęstość zaludnienia OF Olkusza w 2023 r.</w:t>
        </w:r>
        <w:r w:rsidR="000F552E">
          <w:rPr>
            <w:noProof/>
            <w:webHidden/>
          </w:rPr>
          <w:tab/>
        </w:r>
        <w:r w:rsidR="000F552E">
          <w:rPr>
            <w:noProof/>
            <w:webHidden/>
          </w:rPr>
          <w:fldChar w:fldCharType="begin"/>
        </w:r>
        <w:r w:rsidR="000F552E">
          <w:rPr>
            <w:noProof/>
            <w:webHidden/>
          </w:rPr>
          <w:instrText xml:space="preserve"> PAGEREF _Toc181860165 \h </w:instrText>
        </w:r>
        <w:r w:rsidR="000F552E">
          <w:rPr>
            <w:noProof/>
            <w:webHidden/>
          </w:rPr>
        </w:r>
        <w:r w:rsidR="000F552E">
          <w:rPr>
            <w:noProof/>
            <w:webHidden/>
          </w:rPr>
          <w:fldChar w:fldCharType="separate"/>
        </w:r>
        <w:r w:rsidR="000F552E">
          <w:rPr>
            <w:noProof/>
            <w:webHidden/>
          </w:rPr>
          <w:t>12</w:t>
        </w:r>
        <w:r w:rsidR="000F552E">
          <w:rPr>
            <w:noProof/>
            <w:webHidden/>
          </w:rPr>
          <w:fldChar w:fldCharType="end"/>
        </w:r>
      </w:hyperlink>
    </w:p>
    <w:p w14:paraId="583C0B01" w14:textId="77777777" w:rsidR="000F552E" w:rsidRDefault="002F6F08">
      <w:pPr>
        <w:pStyle w:val="Spisilustracji"/>
        <w:tabs>
          <w:tab w:val="right" w:leader="dot" w:pos="9062"/>
        </w:tabs>
        <w:rPr>
          <w:rFonts w:eastAsiaTheme="minorEastAsia"/>
          <w:i w:val="0"/>
          <w:noProof/>
          <w:sz w:val="22"/>
          <w:lang w:eastAsia="pl-PL"/>
        </w:rPr>
      </w:pPr>
      <w:hyperlink w:anchor="_Toc181860166" w:history="1">
        <w:r w:rsidR="000F552E" w:rsidRPr="00E3432B">
          <w:rPr>
            <w:rStyle w:val="Hipercze"/>
            <w:noProof/>
          </w:rPr>
          <w:t>Tabela 5 Wskaźniki produktu</w:t>
        </w:r>
        <w:r w:rsidR="000F552E">
          <w:rPr>
            <w:noProof/>
            <w:webHidden/>
          </w:rPr>
          <w:tab/>
        </w:r>
        <w:r w:rsidR="000F552E">
          <w:rPr>
            <w:noProof/>
            <w:webHidden/>
          </w:rPr>
          <w:fldChar w:fldCharType="begin"/>
        </w:r>
        <w:r w:rsidR="000F552E">
          <w:rPr>
            <w:noProof/>
            <w:webHidden/>
          </w:rPr>
          <w:instrText xml:space="preserve"> PAGEREF _Toc181860166 \h </w:instrText>
        </w:r>
        <w:r w:rsidR="000F552E">
          <w:rPr>
            <w:noProof/>
            <w:webHidden/>
          </w:rPr>
        </w:r>
        <w:r w:rsidR="000F552E">
          <w:rPr>
            <w:noProof/>
            <w:webHidden/>
          </w:rPr>
          <w:fldChar w:fldCharType="separate"/>
        </w:r>
        <w:r w:rsidR="000F552E">
          <w:rPr>
            <w:noProof/>
            <w:webHidden/>
          </w:rPr>
          <w:t>44</w:t>
        </w:r>
        <w:r w:rsidR="000F552E">
          <w:rPr>
            <w:noProof/>
            <w:webHidden/>
          </w:rPr>
          <w:fldChar w:fldCharType="end"/>
        </w:r>
      </w:hyperlink>
    </w:p>
    <w:p w14:paraId="127F0BB8" w14:textId="77777777" w:rsidR="000F552E" w:rsidRDefault="002F6F08">
      <w:pPr>
        <w:pStyle w:val="Spisilustracji"/>
        <w:tabs>
          <w:tab w:val="right" w:leader="dot" w:pos="9062"/>
        </w:tabs>
        <w:rPr>
          <w:rFonts w:eastAsiaTheme="minorEastAsia"/>
          <w:i w:val="0"/>
          <w:noProof/>
          <w:sz w:val="22"/>
          <w:lang w:eastAsia="pl-PL"/>
        </w:rPr>
      </w:pPr>
      <w:hyperlink w:anchor="_Toc181860167" w:history="1">
        <w:r w:rsidR="000F552E" w:rsidRPr="00E3432B">
          <w:rPr>
            <w:rStyle w:val="Hipercze"/>
            <w:noProof/>
          </w:rPr>
          <w:t>Tabela 6 Wskaźniki rezultatu</w:t>
        </w:r>
        <w:r w:rsidR="000F552E">
          <w:rPr>
            <w:noProof/>
            <w:webHidden/>
          </w:rPr>
          <w:tab/>
        </w:r>
        <w:r w:rsidR="000F552E">
          <w:rPr>
            <w:noProof/>
            <w:webHidden/>
          </w:rPr>
          <w:fldChar w:fldCharType="begin"/>
        </w:r>
        <w:r w:rsidR="000F552E">
          <w:rPr>
            <w:noProof/>
            <w:webHidden/>
          </w:rPr>
          <w:instrText xml:space="preserve"> PAGEREF _Toc181860167 \h </w:instrText>
        </w:r>
        <w:r w:rsidR="000F552E">
          <w:rPr>
            <w:noProof/>
            <w:webHidden/>
          </w:rPr>
        </w:r>
        <w:r w:rsidR="000F552E">
          <w:rPr>
            <w:noProof/>
            <w:webHidden/>
          </w:rPr>
          <w:fldChar w:fldCharType="separate"/>
        </w:r>
        <w:r w:rsidR="000F552E">
          <w:rPr>
            <w:noProof/>
            <w:webHidden/>
          </w:rPr>
          <w:t>44</w:t>
        </w:r>
        <w:r w:rsidR="000F552E">
          <w:rPr>
            <w:noProof/>
            <w:webHidden/>
          </w:rPr>
          <w:fldChar w:fldCharType="end"/>
        </w:r>
      </w:hyperlink>
    </w:p>
    <w:p w14:paraId="2EF149F7" w14:textId="77777777" w:rsidR="000F552E" w:rsidRDefault="002F6F08">
      <w:pPr>
        <w:pStyle w:val="Spisilustracji"/>
        <w:tabs>
          <w:tab w:val="right" w:leader="dot" w:pos="9062"/>
        </w:tabs>
        <w:rPr>
          <w:rFonts w:eastAsiaTheme="minorEastAsia"/>
          <w:i w:val="0"/>
          <w:noProof/>
          <w:sz w:val="22"/>
          <w:lang w:eastAsia="pl-PL"/>
        </w:rPr>
      </w:pPr>
      <w:hyperlink w:anchor="_Toc181860168" w:history="1">
        <w:r w:rsidR="000F552E" w:rsidRPr="00E3432B">
          <w:rPr>
            <w:rStyle w:val="Hipercze"/>
            <w:noProof/>
          </w:rPr>
          <w:t>Tabela 7 Plan finansowy</w:t>
        </w:r>
        <w:r w:rsidR="000F552E">
          <w:rPr>
            <w:noProof/>
            <w:webHidden/>
          </w:rPr>
          <w:tab/>
        </w:r>
        <w:r w:rsidR="000F552E">
          <w:rPr>
            <w:noProof/>
            <w:webHidden/>
          </w:rPr>
          <w:fldChar w:fldCharType="begin"/>
        </w:r>
        <w:r w:rsidR="000F552E">
          <w:rPr>
            <w:noProof/>
            <w:webHidden/>
          </w:rPr>
          <w:instrText xml:space="preserve"> PAGEREF _Toc181860168 \h </w:instrText>
        </w:r>
        <w:r w:rsidR="000F552E">
          <w:rPr>
            <w:noProof/>
            <w:webHidden/>
          </w:rPr>
        </w:r>
        <w:r w:rsidR="000F552E">
          <w:rPr>
            <w:noProof/>
            <w:webHidden/>
          </w:rPr>
          <w:fldChar w:fldCharType="separate"/>
        </w:r>
        <w:r w:rsidR="000F552E">
          <w:rPr>
            <w:noProof/>
            <w:webHidden/>
          </w:rPr>
          <w:t>46</w:t>
        </w:r>
        <w:r w:rsidR="000F552E">
          <w:rPr>
            <w:noProof/>
            <w:webHidden/>
          </w:rPr>
          <w:fldChar w:fldCharType="end"/>
        </w:r>
      </w:hyperlink>
    </w:p>
    <w:p w14:paraId="4E9F70F1" w14:textId="22352DBF" w:rsidR="003B4ACE" w:rsidRDefault="003B4ACE" w:rsidP="00BF485B">
      <w:pPr>
        <w:pStyle w:val="Nagwek1"/>
      </w:pPr>
      <w:r>
        <w:fldChar w:fldCharType="end"/>
      </w:r>
      <w:r>
        <w:br w:type="page"/>
      </w:r>
    </w:p>
    <w:p w14:paraId="07A7DA63" w14:textId="195E3838" w:rsidR="009F2E80" w:rsidRDefault="009F2E80" w:rsidP="00BF485B">
      <w:pPr>
        <w:pStyle w:val="Nagwek1"/>
      </w:pPr>
      <w:bookmarkStart w:id="30" w:name="_Toc181691587"/>
      <w:r>
        <w:t>Załącznik. Sprawozdanie z konsultacji społecznych</w:t>
      </w:r>
      <w:bookmarkEnd w:id="30"/>
    </w:p>
    <w:p w14:paraId="3CEFD2B9" w14:textId="5773D70D" w:rsidR="002F6F08" w:rsidRDefault="002F6F08" w:rsidP="002F6F08">
      <w:pPr>
        <w:spacing w:line="360" w:lineRule="auto"/>
        <w:jc w:val="both"/>
      </w:pPr>
      <w:r>
        <w:rPr>
          <w:highlight w:val="yellow"/>
        </w:rPr>
        <w:t>Rozdział zostanie uzupełniony</w:t>
      </w:r>
      <w:r w:rsidRPr="006F0182">
        <w:rPr>
          <w:highlight w:val="yellow"/>
        </w:rPr>
        <w:t xml:space="preserve"> na etapie konsultacji społecznych</w:t>
      </w:r>
      <w:r>
        <w:rPr>
          <w:highlight w:val="yellow"/>
        </w:rPr>
        <w:t xml:space="preserve"> projektu dokumentu</w:t>
      </w:r>
      <w:r w:rsidRPr="006F0182">
        <w:rPr>
          <w:highlight w:val="yellow"/>
        </w:rPr>
        <w:t>.</w:t>
      </w:r>
    </w:p>
    <w:p w14:paraId="4D71CA6D" w14:textId="5F75955C" w:rsidR="00A52DF7" w:rsidRPr="00A52DF7" w:rsidRDefault="00A52DF7" w:rsidP="002F6F08"/>
    <w:sectPr w:rsidR="00A52DF7" w:rsidRPr="00A52D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E96C3" w14:textId="77777777" w:rsidR="00DD7070" w:rsidRDefault="00DD7070" w:rsidP="00C01C1D">
      <w:pPr>
        <w:spacing w:after="0" w:line="240" w:lineRule="auto"/>
      </w:pPr>
      <w:r>
        <w:separator/>
      </w:r>
    </w:p>
  </w:endnote>
  <w:endnote w:type="continuationSeparator" w:id="0">
    <w:p w14:paraId="42110D83" w14:textId="77777777" w:rsidR="00DD7070" w:rsidRDefault="00DD7070" w:rsidP="00C01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CE428" w14:textId="77777777" w:rsidR="00DD7070" w:rsidRDefault="00DD7070" w:rsidP="00A22821">
    <w:pPr>
      <w:pStyle w:val="Nagwek"/>
      <w:spacing w:line="120" w:lineRule="auto"/>
    </w:pPr>
    <w:r>
      <w:tab/>
    </w:r>
    <w:r w:rsidR="002F6F08">
      <w:pict w14:anchorId="22BD0887">
        <v:rect id="_x0000_i1027" style="width:453.6pt;height:1pt;mso-position-horizontal:absolute" o:hralign="center" o:hrstd="t" o:hrnoshade="t" o:hr="t" fillcolor="#58b6c0 [3205]" stroked="f"/>
      </w:pict>
    </w:r>
  </w:p>
  <w:p w14:paraId="10E8137B" w14:textId="5B037466" w:rsidR="00DD7070" w:rsidRPr="00A22821" w:rsidRDefault="00DD7070" w:rsidP="00A22821">
    <w:pPr>
      <w:pStyle w:val="Stopka"/>
      <w:tabs>
        <w:tab w:val="clear" w:pos="4536"/>
        <w:tab w:val="clear" w:pos="9072"/>
        <w:tab w:val="left" w:pos="2120"/>
      </w:tabs>
      <w:rPr>
        <w:color w:val="3494BA" w:themeColor="accent1"/>
      </w:rPr>
    </w:pPr>
    <w:r w:rsidRPr="001F4CA5">
      <w:rPr>
        <w:color w:val="3494BA" w:themeColor="accent1"/>
      </w:rPr>
      <w:fldChar w:fldCharType="begin"/>
    </w:r>
    <w:r w:rsidRPr="001F4CA5">
      <w:rPr>
        <w:color w:val="3494BA" w:themeColor="accent1"/>
      </w:rPr>
      <w:instrText>PAGE   \* MERGEFORMAT</w:instrText>
    </w:r>
    <w:r w:rsidRPr="001F4CA5">
      <w:rPr>
        <w:color w:val="3494BA" w:themeColor="accent1"/>
      </w:rPr>
      <w:fldChar w:fldCharType="separate"/>
    </w:r>
    <w:r w:rsidR="002F6F08">
      <w:rPr>
        <w:noProof/>
        <w:color w:val="3494BA" w:themeColor="accent1"/>
      </w:rPr>
      <w:t>16</w:t>
    </w:r>
    <w:r w:rsidRPr="001F4CA5">
      <w:rPr>
        <w:noProof/>
        <w:color w:val="3494BA" w:themeColor="accent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5C152" w14:textId="77777777" w:rsidR="00DD7070" w:rsidRDefault="00DD7070" w:rsidP="00A22821">
    <w:pPr>
      <w:pStyle w:val="Nagwek"/>
      <w:spacing w:line="120" w:lineRule="auto"/>
    </w:pPr>
    <w:r>
      <w:tab/>
    </w:r>
    <w:r w:rsidR="002F6F08">
      <w:pict w14:anchorId="2AA9A759">
        <v:rect id="_x0000_i1028" style="width:453.6pt;height:1pt;mso-position-horizontal:absolute" o:hralign="center" o:hrstd="t" o:hrnoshade="t" o:hr="t" fillcolor="#58b6c0 [3205]" stroked="f"/>
      </w:pict>
    </w:r>
  </w:p>
  <w:p w14:paraId="5E7E1220" w14:textId="27AC6A25" w:rsidR="00DD7070" w:rsidRPr="00A22821" w:rsidRDefault="00DD7070" w:rsidP="00A22821">
    <w:pPr>
      <w:pStyle w:val="Stopka"/>
      <w:tabs>
        <w:tab w:val="clear" w:pos="4536"/>
        <w:tab w:val="clear" w:pos="9072"/>
        <w:tab w:val="left" w:pos="2120"/>
      </w:tabs>
      <w:jc w:val="right"/>
      <w:rPr>
        <w:color w:val="3494BA" w:themeColor="accent1"/>
      </w:rPr>
    </w:pPr>
    <w:r w:rsidRPr="001F4CA5">
      <w:rPr>
        <w:color w:val="3494BA" w:themeColor="accent1"/>
      </w:rPr>
      <w:fldChar w:fldCharType="begin"/>
    </w:r>
    <w:r w:rsidRPr="001F4CA5">
      <w:rPr>
        <w:color w:val="3494BA" w:themeColor="accent1"/>
      </w:rPr>
      <w:instrText>PAGE   \* MERGEFORMAT</w:instrText>
    </w:r>
    <w:r w:rsidRPr="001F4CA5">
      <w:rPr>
        <w:color w:val="3494BA" w:themeColor="accent1"/>
      </w:rPr>
      <w:fldChar w:fldCharType="separate"/>
    </w:r>
    <w:r w:rsidR="002F6F08">
      <w:rPr>
        <w:noProof/>
        <w:color w:val="3494BA" w:themeColor="accent1"/>
      </w:rPr>
      <w:t>17</w:t>
    </w:r>
    <w:r w:rsidRPr="001F4CA5">
      <w:rPr>
        <w:noProof/>
        <w:color w:val="3494BA" w:themeColor="accen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F6C6F" w14:textId="77777777" w:rsidR="00DD7070" w:rsidRDefault="00DD7070" w:rsidP="00C01C1D">
      <w:pPr>
        <w:spacing w:after="0" w:line="240" w:lineRule="auto"/>
      </w:pPr>
      <w:r>
        <w:separator/>
      </w:r>
    </w:p>
  </w:footnote>
  <w:footnote w:type="continuationSeparator" w:id="0">
    <w:p w14:paraId="642B1634" w14:textId="77777777" w:rsidR="00DD7070" w:rsidRDefault="00DD7070" w:rsidP="00C01C1D">
      <w:pPr>
        <w:spacing w:after="0" w:line="240" w:lineRule="auto"/>
      </w:pPr>
      <w:r>
        <w:continuationSeparator/>
      </w:r>
    </w:p>
  </w:footnote>
  <w:footnote w:id="1">
    <w:p w14:paraId="5345276D" w14:textId="77777777" w:rsidR="00DD7070" w:rsidRPr="00D85BE5" w:rsidRDefault="00DD7070" w:rsidP="0036331E">
      <w:pPr>
        <w:pStyle w:val="Tekstprzypisudolnego"/>
        <w:jc w:val="both"/>
      </w:pPr>
      <w:r>
        <w:rPr>
          <w:rStyle w:val="Odwoanieprzypisudolnego"/>
        </w:rPr>
        <w:footnoteRef/>
      </w:r>
      <w:r>
        <w:t xml:space="preserve"> Najnowsze dane pochodzą z badania GUS </w:t>
      </w:r>
      <w:r w:rsidRPr="00D85BE5">
        <w:rPr>
          <w:i/>
        </w:rPr>
        <w:t>Przepływy ludności związane z zatrudnieniem</w:t>
      </w:r>
      <w:r>
        <w:rPr>
          <w:i/>
        </w:rPr>
        <w:t xml:space="preserve">, </w:t>
      </w:r>
      <w:r w:rsidRPr="00D85BE5">
        <w:t xml:space="preserve">które ostatni </w:t>
      </w:r>
      <w:r>
        <w:t xml:space="preserve">raz </w:t>
      </w:r>
      <w:r w:rsidRPr="00D85BE5">
        <w:t>realizowane był</w:t>
      </w:r>
      <w:r>
        <w:t>o w 2021 r.</w:t>
      </w:r>
    </w:p>
  </w:footnote>
  <w:footnote w:id="2">
    <w:p w14:paraId="1F0672A4" w14:textId="77777777" w:rsidR="00DD7070" w:rsidRDefault="00DD7070" w:rsidP="0036331E">
      <w:pPr>
        <w:pStyle w:val="Tekstprzypisudolnego"/>
        <w:jc w:val="both"/>
      </w:pPr>
      <w:r>
        <w:rPr>
          <w:rStyle w:val="Odwoanieprzypisudolnego"/>
        </w:rPr>
        <w:footnoteRef/>
      </w:r>
      <w:r>
        <w:t xml:space="preserve"> Do analizy wykorzystano dane dotyczące liczby pracujących w sektorach: 1) Przemysł i budownictwo, 2) Handel; naprawa pojazdów samochodowych; transport i gospodarka magazynowa; zakwaterowanie i gastronomia; informacja i komunikacja, 3) </w:t>
      </w:r>
      <w:r w:rsidRPr="008F709A">
        <w:t>Działalność finansowa i ubezpieczeniowa; obsługa rynku nier</w:t>
      </w:r>
      <w:r>
        <w:t>uchomości oraz pozostałe usługi.</w:t>
      </w:r>
    </w:p>
  </w:footnote>
  <w:footnote w:id="3">
    <w:p w14:paraId="5568C296" w14:textId="63BDE953" w:rsidR="00DD7070" w:rsidRDefault="00DD7070" w:rsidP="0036331E">
      <w:pPr>
        <w:pStyle w:val="Tekstprzypisudolnego"/>
        <w:jc w:val="both"/>
      </w:pPr>
      <w:r>
        <w:rPr>
          <w:rStyle w:val="Odwoanieprzypisudolnego"/>
        </w:rPr>
        <w:footnoteRef/>
      </w:r>
      <w:r>
        <w:t xml:space="preserve"> Przy obliczaniu wskaźnika dla 2023 r. przyjęto taką samą powierzchnię gruntów pod wodami jak w 2014 r., ze względu na brak aktualniejszych danych.</w:t>
      </w:r>
    </w:p>
  </w:footnote>
  <w:footnote w:id="4">
    <w:p w14:paraId="2EFDD97F" w14:textId="77777777" w:rsidR="00DD7070" w:rsidRDefault="00DD7070" w:rsidP="00884DD1">
      <w:pPr>
        <w:pStyle w:val="Tekstprzypisudolnego"/>
      </w:pPr>
      <w:r w:rsidRPr="00701FFF">
        <w:rPr>
          <w:rStyle w:val="Znakiprzypiswdolnych"/>
          <w:vertAlign w:val="superscript"/>
        </w:rPr>
        <w:footnoteRef/>
      </w:r>
      <w:r>
        <w:t xml:space="preserve"> mw-miejsko-wiejska, w-wiejska</w:t>
      </w:r>
    </w:p>
  </w:footnote>
  <w:footnote w:id="5">
    <w:p w14:paraId="60E5021B" w14:textId="63EF23C0" w:rsidR="00DD7070" w:rsidRDefault="00DD7070" w:rsidP="0036331E">
      <w:pPr>
        <w:pStyle w:val="Tekstprzypisudolnego"/>
        <w:jc w:val="both"/>
      </w:pPr>
      <w:r>
        <w:rPr>
          <w:rStyle w:val="Odwoanieprzypisudolnego"/>
        </w:rPr>
        <w:footnoteRef/>
      </w:r>
      <w:r>
        <w:t xml:space="preserve"> Wartość oszacowana na podstawie liczby sprzedanych biletów do Zamku Rabsztyn oraz danych pozyskanych z obserwacji dronów przy wydarzeniach organizowanych w obrębie Wzgórza.</w:t>
      </w:r>
    </w:p>
  </w:footnote>
  <w:footnote w:id="6">
    <w:p w14:paraId="755BB218" w14:textId="77777777" w:rsidR="00DD7070" w:rsidRDefault="00DD7070" w:rsidP="0036331E">
      <w:pPr>
        <w:pStyle w:val="Tekstprzypisudolnego"/>
        <w:jc w:val="both"/>
      </w:pPr>
      <w:r>
        <w:rPr>
          <w:rStyle w:val="Odwoanieprzypisudolnego"/>
        </w:rPr>
        <w:footnoteRef/>
      </w:r>
      <w:r>
        <w:t xml:space="preserve"> </w:t>
      </w:r>
      <w:r w:rsidRPr="00136B9A">
        <w:t>Badanie ewaluacyjne dot. pomiaru wartości wskaźnika rezultatu długoterminowego RPO WM na lata 2014- 2020: Liczba osób korzystających z tras rowerowych w regionie RAPORT KOŃCOWY. Utila sp. z o.o.&amp;Eu-Consult sp</w:t>
      </w:r>
      <w:r>
        <w:t>. z o.o. Warszawa, listopad 2022</w:t>
      </w:r>
    </w:p>
  </w:footnote>
  <w:footnote w:id="7">
    <w:p w14:paraId="4B1B60E9" w14:textId="7C426BDF" w:rsidR="00DD7070" w:rsidRDefault="00DD7070" w:rsidP="0036331E">
      <w:pPr>
        <w:pStyle w:val="Tekstprzypisudolnego"/>
        <w:jc w:val="both"/>
      </w:pPr>
      <w:r>
        <w:rPr>
          <w:rStyle w:val="Odwoanieprzypisudolnego"/>
        </w:rPr>
        <w:footnoteRef/>
      </w:r>
      <w:r>
        <w:t xml:space="preserve"> </w:t>
      </w:r>
      <w:r w:rsidRPr="00BD3DB5">
        <w:t>Gmina Klucze prowadzi statystykę osób odwiedzających Pustynię Błędowską prowadzoną na podstawie analizy monitoringu wizyjnego w formie statystycznego założenia powtarzalnoś</w:t>
      </w:r>
      <w:r>
        <w:t>ci ruchu samochodów osobowych w </w:t>
      </w:r>
      <w:r w:rsidRPr="00BD3DB5">
        <w:t>konkretnych okresach czasowych.</w:t>
      </w:r>
      <w:r>
        <w:t xml:space="preserve"> Na podstawie tych danych oszacowano, że w 2023 r. </w:t>
      </w:r>
      <w:r w:rsidRPr="00573661">
        <w:t xml:space="preserve">okolice </w:t>
      </w:r>
      <w:r>
        <w:t>punktu widokowego Róża Wiatrów odwiedziło ok. 136 000 osób.</w:t>
      </w:r>
    </w:p>
  </w:footnote>
  <w:footnote w:id="8">
    <w:p w14:paraId="74526AF4" w14:textId="390A64A6" w:rsidR="00DD7070" w:rsidRDefault="00DD7070">
      <w:pPr>
        <w:pStyle w:val="Tekstprzypisudolnego"/>
      </w:pPr>
      <w:r>
        <w:rPr>
          <w:rStyle w:val="Odwoanieprzypisudolnego"/>
        </w:rPr>
        <w:footnoteRef/>
      </w:r>
      <w:r>
        <w:t xml:space="preserve"> </w:t>
      </w:r>
      <w:r w:rsidRPr="00893090">
        <w:t>Ruch Turys</w:t>
      </w:r>
      <w:r>
        <w:t xml:space="preserve">tyczny w Małopolsce w 2023 roku, </w:t>
      </w:r>
      <w:r w:rsidRPr="00893090">
        <w:t xml:space="preserve">Numer 1/2024 Badanie ruchu turystycznego w Małopolsce 2023 </w:t>
      </w:r>
      <w:r>
        <w:t>Wersja sz</w:t>
      </w:r>
      <w:r w:rsidRPr="00893090">
        <w:t>czegółowa</w:t>
      </w:r>
      <w:r>
        <w:t xml:space="preserve">, Małopolska Organizacja Turystyczna, Kraków, </w:t>
      </w:r>
      <w:r w:rsidRPr="00893090">
        <w:t>grudzień 2023 - styczeń 2024</w:t>
      </w:r>
      <w:r>
        <w:t>.</w:t>
      </w:r>
    </w:p>
  </w:footnote>
  <w:footnote w:id="9">
    <w:p w14:paraId="3D3E67E2" w14:textId="77777777" w:rsidR="00DD7070" w:rsidRDefault="00DD7070" w:rsidP="003C0048">
      <w:pPr>
        <w:pStyle w:val="Tekstprzypisudolnego"/>
      </w:pPr>
      <w:r>
        <w:rPr>
          <w:rStyle w:val="Odwoanieprzypisudolnego"/>
        </w:rPr>
        <w:footnoteRef/>
      </w:r>
      <w:r>
        <w:t xml:space="preserve"> Dokument opublikowany przez </w:t>
      </w:r>
      <w:r w:rsidRPr="000963F1">
        <w:t>Ministerstwo Funduszy i Polityki Regionalnej</w:t>
      </w:r>
    </w:p>
  </w:footnote>
  <w:footnote w:id="10">
    <w:p w14:paraId="750A62C8" w14:textId="77777777" w:rsidR="00DD7070" w:rsidRDefault="00DD7070" w:rsidP="00C01C1D">
      <w:pPr>
        <w:pStyle w:val="Tekstprzypisudolnego"/>
      </w:pPr>
      <w:r>
        <w:rPr>
          <w:rStyle w:val="Odwoanieprzypisudolnego"/>
        </w:rPr>
        <w:footnoteRef/>
      </w:r>
      <w:r>
        <w:t xml:space="preserve"> Załącznik</w:t>
      </w:r>
      <w:r w:rsidRPr="001D258D">
        <w:t xml:space="preserve"> nr 1 do Uchwały Nr 1905/23 Zarządu Województwa Małopolskiego</w:t>
      </w:r>
      <w:r>
        <w:t xml:space="preserve"> z dnia 10 października 2023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F830C" w14:textId="2A5616D9" w:rsidR="00DD7070" w:rsidRPr="00D00ED2" w:rsidRDefault="00DD7070" w:rsidP="00A22821">
    <w:pPr>
      <w:pStyle w:val="Nagwek"/>
      <w:rPr>
        <w:color w:val="1878BE"/>
        <w:sz w:val="20"/>
        <w:szCs w:val="23"/>
      </w:rPr>
    </w:pPr>
    <w:r>
      <w:rPr>
        <w:color w:val="1878BE"/>
        <w:sz w:val="20"/>
        <w:szCs w:val="23"/>
      </w:rPr>
      <w:t>Gmina Olkusz, Gmina Klucze, Gmina Bolesław</w:t>
    </w:r>
  </w:p>
  <w:p w14:paraId="55435446" w14:textId="77777777" w:rsidR="00DD7070" w:rsidRDefault="002F6F08" w:rsidP="00A22821">
    <w:pPr>
      <w:pStyle w:val="Nagwek"/>
      <w:spacing w:line="120" w:lineRule="auto"/>
    </w:pPr>
    <w:r>
      <w:pict w14:anchorId="63A525FF">
        <v:rect id="_x0000_i1025" style="width:453.6pt;height:1pt;mso-position-horizontal:absolute" o:hralign="center" o:hrstd="t" o:hrnoshade="t" o:hr="t" fillcolor="#58b6c0 [3205]" stroked="f"/>
      </w:pict>
    </w:r>
  </w:p>
  <w:p w14:paraId="5632D19A" w14:textId="77777777" w:rsidR="00DD7070" w:rsidRDefault="00DD707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E06AA" w14:textId="77777777" w:rsidR="00DD7070" w:rsidRPr="00D00ED2" w:rsidRDefault="00DD7070" w:rsidP="00A22821">
    <w:pPr>
      <w:pStyle w:val="Nagwek"/>
      <w:jc w:val="right"/>
      <w:rPr>
        <w:color w:val="1878BE"/>
        <w:sz w:val="20"/>
        <w:szCs w:val="23"/>
      </w:rPr>
    </w:pPr>
    <w:r>
      <w:rPr>
        <w:color w:val="1878BE"/>
        <w:sz w:val="20"/>
        <w:szCs w:val="23"/>
      </w:rPr>
      <w:t xml:space="preserve">STRATEGIA IIT </w:t>
    </w:r>
  </w:p>
  <w:p w14:paraId="4F0273CF" w14:textId="77777777" w:rsidR="00DD7070" w:rsidRDefault="002F6F08" w:rsidP="00A22821">
    <w:pPr>
      <w:pStyle w:val="Nagwek"/>
      <w:spacing w:line="120" w:lineRule="auto"/>
    </w:pPr>
    <w:r>
      <w:pict w14:anchorId="69DB76EB">
        <v:rect id="_x0000_i1026" style="width:453.6pt;height:1pt;mso-position-horizontal:absolute" o:hralign="center" o:hrstd="t" o:hrnoshade="t" o:hr="t" fillcolor="#58b6c0 [3205]" stroked="f"/>
      </w:pict>
    </w:r>
  </w:p>
  <w:p w14:paraId="2C21B40D" w14:textId="77777777" w:rsidR="00DD7070" w:rsidRDefault="00DD7070" w:rsidP="00A22821">
    <w:pPr>
      <w:pStyle w:val="Nagwek"/>
    </w:pPr>
  </w:p>
  <w:p w14:paraId="6C79AF9F" w14:textId="77777777" w:rsidR="00DD7070" w:rsidRDefault="00DD707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A557C"/>
    <w:multiLevelType w:val="hybridMultilevel"/>
    <w:tmpl w:val="04CA23C0"/>
    <w:lvl w:ilvl="0" w:tplc="E6584DE4">
      <w:start w:val="1"/>
      <w:numFmt w:val="bullet"/>
      <w:lvlText w:val=""/>
      <w:lvlJc w:val="left"/>
      <w:pPr>
        <w:ind w:left="720" w:hanging="360"/>
      </w:pPr>
      <w:rPr>
        <w:rFonts w:ascii="Symbol" w:hAnsi="Symbol" w:hint="default"/>
        <w:color w:val="2683C6" w:themeColor="accent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9B55AF2"/>
    <w:multiLevelType w:val="hybridMultilevel"/>
    <w:tmpl w:val="141497AA"/>
    <w:lvl w:ilvl="0" w:tplc="DAF2F12A">
      <w:start w:val="1"/>
      <w:numFmt w:val="bullet"/>
      <w:lvlText w:val=""/>
      <w:lvlJc w:val="left"/>
      <w:pPr>
        <w:ind w:left="720" w:hanging="360"/>
      </w:pPr>
      <w:rPr>
        <w:rFonts w:ascii="Symbol" w:hAnsi="Symbol" w:hint="default"/>
        <w:color w:val="2683C6" w:themeColor="accent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FF66002"/>
    <w:multiLevelType w:val="hybridMultilevel"/>
    <w:tmpl w:val="FDBE1D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9085C92"/>
    <w:multiLevelType w:val="hybridMultilevel"/>
    <w:tmpl w:val="687CBE5C"/>
    <w:lvl w:ilvl="0" w:tplc="62B2AF88">
      <w:start w:val="1"/>
      <w:numFmt w:val="bullet"/>
      <w:lvlText w:val=""/>
      <w:lvlJc w:val="left"/>
      <w:pPr>
        <w:ind w:left="720" w:hanging="360"/>
      </w:pPr>
      <w:rPr>
        <w:rFonts w:ascii="Symbol" w:hAnsi="Symbol" w:hint="default"/>
        <w:color w:val="58B6C0" w:themeColor="accen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AB5237C"/>
    <w:multiLevelType w:val="hybridMultilevel"/>
    <w:tmpl w:val="EE804A42"/>
    <w:lvl w:ilvl="0" w:tplc="04150001">
      <w:start w:val="1"/>
      <w:numFmt w:val="bullet"/>
      <w:lvlText w:val=""/>
      <w:lvlJc w:val="left"/>
      <w:pPr>
        <w:ind w:left="3600" w:hanging="360"/>
      </w:pPr>
      <w:rPr>
        <w:rFonts w:ascii="Symbol" w:hAnsi="Symbol" w:hint="default"/>
      </w:rPr>
    </w:lvl>
    <w:lvl w:ilvl="1" w:tplc="04150003" w:tentative="1">
      <w:start w:val="1"/>
      <w:numFmt w:val="bullet"/>
      <w:lvlText w:val="o"/>
      <w:lvlJc w:val="left"/>
      <w:pPr>
        <w:ind w:left="4320" w:hanging="360"/>
      </w:pPr>
      <w:rPr>
        <w:rFonts w:ascii="Courier New" w:hAnsi="Courier New" w:cs="Courier New" w:hint="default"/>
      </w:rPr>
    </w:lvl>
    <w:lvl w:ilvl="2" w:tplc="04150005" w:tentative="1">
      <w:start w:val="1"/>
      <w:numFmt w:val="bullet"/>
      <w:lvlText w:val=""/>
      <w:lvlJc w:val="left"/>
      <w:pPr>
        <w:ind w:left="5040" w:hanging="360"/>
      </w:pPr>
      <w:rPr>
        <w:rFonts w:ascii="Wingdings" w:hAnsi="Wingdings" w:hint="default"/>
      </w:rPr>
    </w:lvl>
    <w:lvl w:ilvl="3" w:tplc="04150001" w:tentative="1">
      <w:start w:val="1"/>
      <w:numFmt w:val="bullet"/>
      <w:lvlText w:val=""/>
      <w:lvlJc w:val="left"/>
      <w:pPr>
        <w:ind w:left="5760" w:hanging="360"/>
      </w:pPr>
      <w:rPr>
        <w:rFonts w:ascii="Symbol" w:hAnsi="Symbol" w:hint="default"/>
      </w:rPr>
    </w:lvl>
    <w:lvl w:ilvl="4" w:tplc="04150003" w:tentative="1">
      <w:start w:val="1"/>
      <w:numFmt w:val="bullet"/>
      <w:lvlText w:val="o"/>
      <w:lvlJc w:val="left"/>
      <w:pPr>
        <w:ind w:left="6480" w:hanging="360"/>
      </w:pPr>
      <w:rPr>
        <w:rFonts w:ascii="Courier New" w:hAnsi="Courier New" w:cs="Courier New" w:hint="default"/>
      </w:rPr>
    </w:lvl>
    <w:lvl w:ilvl="5" w:tplc="04150005" w:tentative="1">
      <w:start w:val="1"/>
      <w:numFmt w:val="bullet"/>
      <w:lvlText w:val=""/>
      <w:lvlJc w:val="left"/>
      <w:pPr>
        <w:ind w:left="7200" w:hanging="360"/>
      </w:pPr>
      <w:rPr>
        <w:rFonts w:ascii="Wingdings" w:hAnsi="Wingdings" w:hint="default"/>
      </w:rPr>
    </w:lvl>
    <w:lvl w:ilvl="6" w:tplc="04150001" w:tentative="1">
      <w:start w:val="1"/>
      <w:numFmt w:val="bullet"/>
      <w:lvlText w:val=""/>
      <w:lvlJc w:val="left"/>
      <w:pPr>
        <w:ind w:left="7920" w:hanging="360"/>
      </w:pPr>
      <w:rPr>
        <w:rFonts w:ascii="Symbol" w:hAnsi="Symbol" w:hint="default"/>
      </w:rPr>
    </w:lvl>
    <w:lvl w:ilvl="7" w:tplc="04150003" w:tentative="1">
      <w:start w:val="1"/>
      <w:numFmt w:val="bullet"/>
      <w:lvlText w:val="o"/>
      <w:lvlJc w:val="left"/>
      <w:pPr>
        <w:ind w:left="8640" w:hanging="360"/>
      </w:pPr>
      <w:rPr>
        <w:rFonts w:ascii="Courier New" w:hAnsi="Courier New" w:cs="Courier New" w:hint="default"/>
      </w:rPr>
    </w:lvl>
    <w:lvl w:ilvl="8" w:tplc="04150005" w:tentative="1">
      <w:start w:val="1"/>
      <w:numFmt w:val="bullet"/>
      <w:lvlText w:val=""/>
      <w:lvlJc w:val="left"/>
      <w:pPr>
        <w:ind w:left="9360" w:hanging="360"/>
      </w:pPr>
      <w:rPr>
        <w:rFonts w:ascii="Wingdings" w:hAnsi="Wingdings" w:hint="default"/>
      </w:rPr>
    </w:lvl>
  </w:abstractNum>
  <w:abstractNum w:abstractNumId="5">
    <w:nsid w:val="30056F2C"/>
    <w:multiLevelType w:val="hybridMultilevel"/>
    <w:tmpl w:val="544C67BC"/>
    <w:lvl w:ilvl="0" w:tplc="306ABEAC">
      <w:start w:val="1"/>
      <w:numFmt w:val="bullet"/>
      <w:lvlText w:val=""/>
      <w:lvlJc w:val="left"/>
      <w:pPr>
        <w:ind w:left="720" w:hanging="360"/>
      </w:pPr>
      <w:rPr>
        <w:rFonts w:ascii="Symbol" w:hAnsi="Symbol" w:hint="default"/>
        <w:color w:val="2683C6" w:themeColor="accent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0160AE7"/>
    <w:multiLevelType w:val="hybridMultilevel"/>
    <w:tmpl w:val="3E186C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589026A"/>
    <w:multiLevelType w:val="hybridMultilevel"/>
    <w:tmpl w:val="87FEC1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66F6F80"/>
    <w:multiLevelType w:val="hybridMultilevel"/>
    <w:tmpl w:val="83829D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DE77938"/>
    <w:multiLevelType w:val="hybridMultilevel"/>
    <w:tmpl w:val="671C2B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5046193"/>
    <w:multiLevelType w:val="hybridMultilevel"/>
    <w:tmpl w:val="0352B6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8DD11E7"/>
    <w:multiLevelType w:val="hybridMultilevel"/>
    <w:tmpl w:val="912847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AC061EE"/>
    <w:multiLevelType w:val="hybridMultilevel"/>
    <w:tmpl w:val="87FEC1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1B25315"/>
    <w:multiLevelType w:val="hybridMultilevel"/>
    <w:tmpl w:val="55341E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3FC3BDD"/>
    <w:multiLevelType w:val="hybridMultilevel"/>
    <w:tmpl w:val="87FEC1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F817159"/>
    <w:multiLevelType w:val="multilevel"/>
    <w:tmpl w:val="5A446D40"/>
    <w:lvl w:ilvl="0">
      <w:start w:val="1"/>
      <w:numFmt w:val="decimal"/>
      <w:lvlText w:val="%1."/>
      <w:lvlJc w:val="left"/>
      <w:pPr>
        <w:ind w:left="720" w:hanging="360"/>
      </w:pPr>
    </w:lvl>
    <w:lvl w:ilvl="1">
      <w:start w:val="2"/>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76585579"/>
    <w:multiLevelType w:val="hybridMultilevel"/>
    <w:tmpl w:val="A8C2B76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nsid w:val="7F8F732A"/>
    <w:multiLevelType w:val="hybridMultilevel"/>
    <w:tmpl w:val="BDC4AD8A"/>
    <w:lvl w:ilvl="0" w:tplc="DCC2A0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3"/>
  </w:num>
  <w:num w:numId="4">
    <w:abstractNumId w:val="3"/>
  </w:num>
  <w:num w:numId="5">
    <w:abstractNumId w:val="9"/>
  </w:num>
  <w:num w:numId="6">
    <w:abstractNumId w:val="4"/>
  </w:num>
  <w:num w:numId="7">
    <w:abstractNumId w:val="16"/>
  </w:num>
  <w:num w:numId="8">
    <w:abstractNumId w:val="8"/>
  </w:num>
  <w:num w:numId="9">
    <w:abstractNumId w:val="15"/>
  </w:num>
  <w:num w:numId="10">
    <w:abstractNumId w:val="1"/>
  </w:num>
  <w:num w:numId="11">
    <w:abstractNumId w:val="5"/>
  </w:num>
  <w:num w:numId="12">
    <w:abstractNumId w:val="17"/>
  </w:num>
  <w:num w:numId="13">
    <w:abstractNumId w:val="12"/>
  </w:num>
  <w:num w:numId="14">
    <w:abstractNumId w:val="6"/>
  </w:num>
  <w:num w:numId="15">
    <w:abstractNumId w:val="14"/>
  </w:num>
  <w:num w:numId="16">
    <w:abstractNumId w:val="2"/>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163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90"/>
    <w:rsid w:val="00000E37"/>
    <w:rsid w:val="00001BE0"/>
    <w:rsid w:val="00007F8D"/>
    <w:rsid w:val="00010890"/>
    <w:rsid w:val="00011489"/>
    <w:rsid w:val="00011AA9"/>
    <w:rsid w:val="00011FB1"/>
    <w:rsid w:val="00013019"/>
    <w:rsid w:val="00015159"/>
    <w:rsid w:val="00015371"/>
    <w:rsid w:val="00016D77"/>
    <w:rsid w:val="0001741E"/>
    <w:rsid w:val="00022D82"/>
    <w:rsid w:val="00022EFB"/>
    <w:rsid w:val="0002316F"/>
    <w:rsid w:val="00023ED3"/>
    <w:rsid w:val="00023F75"/>
    <w:rsid w:val="000259EF"/>
    <w:rsid w:val="00026AA1"/>
    <w:rsid w:val="000303FD"/>
    <w:rsid w:val="0003147E"/>
    <w:rsid w:val="000324A7"/>
    <w:rsid w:val="00032DF2"/>
    <w:rsid w:val="00037984"/>
    <w:rsid w:val="00046E04"/>
    <w:rsid w:val="00047292"/>
    <w:rsid w:val="000506A6"/>
    <w:rsid w:val="00050B3B"/>
    <w:rsid w:val="000515CF"/>
    <w:rsid w:val="000574BB"/>
    <w:rsid w:val="00061830"/>
    <w:rsid w:val="00062156"/>
    <w:rsid w:val="00070856"/>
    <w:rsid w:val="0007562D"/>
    <w:rsid w:val="0008210E"/>
    <w:rsid w:val="0008601F"/>
    <w:rsid w:val="000861AF"/>
    <w:rsid w:val="00087F77"/>
    <w:rsid w:val="00090FA3"/>
    <w:rsid w:val="0009206A"/>
    <w:rsid w:val="000A0742"/>
    <w:rsid w:val="000A3DB7"/>
    <w:rsid w:val="000B063A"/>
    <w:rsid w:val="000C08DA"/>
    <w:rsid w:val="000C1871"/>
    <w:rsid w:val="000C4E01"/>
    <w:rsid w:val="000D0921"/>
    <w:rsid w:val="000D1AB0"/>
    <w:rsid w:val="000D2EA1"/>
    <w:rsid w:val="000E5648"/>
    <w:rsid w:val="000F3323"/>
    <w:rsid w:val="000F552E"/>
    <w:rsid w:val="000F5E68"/>
    <w:rsid w:val="000F6854"/>
    <w:rsid w:val="000F6AB1"/>
    <w:rsid w:val="000F6E0D"/>
    <w:rsid w:val="00100D7B"/>
    <w:rsid w:val="00103235"/>
    <w:rsid w:val="00105C0B"/>
    <w:rsid w:val="001062C0"/>
    <w:rsid w:val="00106E0E"/>
    <w:rsid w:val="0010704D"/>
    <w:rsid w:val="001159DB"/>
    <w:rsid w:val="00127099"/>
    <w:rsid w:val="00136B9A"/>
    <w:rsid w:val="00144D0E"/>
    <w:rsid w:val="0014557F"/>
    <w:rsid w:val="00146129"/>
    <w:rsid w:val="0014714F"/>
    <w:rsid w:val="001511BE"/>
    <w:rsid w:val="00153A44"/>
    <w:rsid w:val="001564AD"/>
    <w:rsid w:val="00161F5F"/>
    <w:rsid w:val="001673C2"/>
    <w:rsid w:val="00167824"/>
    <w:rsid w:val="001702A8"/>
    <w:rsid w:val="0017524A"/>
    <w:rsid w:val="001811C0"/>
    <w:rsid w:val="00183B59"/>
    <w:rsid w:val="00184156"/>
    <w:rsid w:val="00185AB6"/>
    <w:rsid w:val="0018799D"/>
    <w:rsid w:val="0019184C"/>
    <w:rsid w:val="00191DCB"/>
    <w:rsid w:val="00193574"/>
    <w:rsid w:val="00195F1E"/>
    <w:rsid w:val="001976EB"/>
    <w:rsid w:val="001A0168"/>
    <w:rsid w:val="001A10A1"/>
    <w:rsid w:val="001A15FE"/>
    <w:rsid w:val="001A1621"/>
    <w:rsid w:val="001A18A6"/>
    <w:rsid w:val="001A2EBC"/>
    <w:rsid w:val="001A43C3"/>
    <w:rsid w:val="001A4A9E"/>
    <w:rsid w:val="001A5420"/>
    <w:rsid w:val="001A667F"/>
    <w:rsid w:val="001A7485"/>
    <w:rsid w:val="001B290C"/>
    <w:rsid w:val="001B3304"/>
    <w:rsid w:val="001B4D64"/>
    <w:rsid w:val="001B5321"/>
    <w:rsid w:val="001C04B3"/>
    <w:rsid w:val="001C0A6D"/>
    <w:rsid w:val="001C5609"/>
    <w:rsid w:val="001D38C6"/>
    <w:rsid w:val="001D442A"/>
    <w:rsid w:val="001D4D4A"/>
    <w:rsid w:val="001D6C83"/>
    <w:rsid w:val="001D7E9B"/>
    <w:rsid w:val="001E44E9"/>
    <w:rsid w:val="001E7B1E"/>
    <w:rsid w:val="001F53EB"/>
    <w:rsid w:val="001F58C2"/>
    <w:rsid w:val="001F75B0"/>
    <w:rsid w:val="00201A22"/>
    <w:rsid w:val="00201C68"/>
    <w:rsid w:val="002044BE"/>
    <w:rsid w:val="002050B4"/>
    <w:rsid w:val="00207F88"/>
    <w:rsid w:val="002109E0"/>
    <w:rsid w:val="00212CBF"/>
    <w:rsid w:val="00222ACF"/>
    <w:rsid w:val="002236AC"/>
    <w:rsid w:val="00231BEE"/>
    <w:rsid w:val="0023220C"/>
    <w:rsid w:val="002330C8"/>
    <w:rsid w:val="0023370C"/>
    <w:rsid w:val="002367C2"/>
    <w:rsid w:val="0024555E"/>
    <w:rsid w:val="002463DC"/>
    <w:rsid w:val="00250C63"/>
    <w:rsid w:val="0025141C"/>
    <w:rsid w:val="002520AC"/>
    <w:rsid w:val="00254789"/>
    <w:rsid w:val="00254C9D"/>
    <w:rsid w:val="00255621"/>
    <w:rsid w:val="00255A1E"/>
    <w:rsid w:val="00256A50"/>
    <w:rsid w:val="00260BAB"/>
    <w:rsid w:val="00262D80"/>
    <w:rsid w:val="0026317F"/>
    <w:rsid w:val="00263F58"/>
    <w:rsid w:val="00264A58"/>
    <w:rsid w:val="00267E52"/>
    <w:rsid w:val="002702E0"/>
    <w:rsid w:val="00272AC3"/>
    <w:rsid w:val="00274C78"/>
    <w:rsid w:val="002764C6"/>
    <w:rsid w:val="00276A18"/>
    <w:rsid w:val="00277478"/>
    <w:rsid w:val="00277DE6"/>
    <w:rsid w:val="00280D63"/>
    <w:rsid w:val="00295A8D"/>
    <w:rsid w:val="00297BD1"/>
    <w:rsid w:val="002A33D8"/>
    <w:rsid w:val="002A3DE0"/>
    <w:rsid w:val="002B66F5"/>
    <w:rsid w:val="002C15DD"/>
    <w:rsid w:val="002C3C1C"/>
    <w:rsid w:val="002C428D"/>
    <w:rsid w:val="002C432A"/>
    <w:rsid w:val="002D1CF6"/>
    <w:rsid w:val="002D2714"/>
    <w:rsid w:val="002D31E8"/>
    <w:rsid w:val="002D3ED7"/>
    <w:rsid w:val="002D5E57"/>
    <w:rsid w:val="002D6490"/>
    <w:rsid w:val="002D7290"/>
    <w:rsid w:val="002E168A"/>
    <w:rsid w:val="002E30BF"/>
    <w:rsid w:val="002E573A"/>
    <w:rsid w:val="002E67BA"/>
    <w:rsid w:val="002F479E"/>
    <w:rsid w:val="002F5CD1"/>
    <w:rsid w:val="002F60D9"/>
    <w:rsid w:val="002F6F08"/>
    <w:rsid w:val="002F74EC"/>
    <w:rsid w:val="003011A3"/>
    <w:rsid w:val="003061F4"/>
    <w:rsid w:val="00312323"/>
    <w:rsid w:val="00316B81"/>
    <w:rsid w:val="0032466A"/>
    <w:rsid w:val="003267E2"/>
    <w:rsid w:val="003313A2"/>
    <w:rsid w:val="003334A3"/>
    <w:rsid w:val="003339B1"/>
    <w:rsid w:val="003372C7"/>
    <w:rsid w:val="003375FC"/>
    <w:rsid w:val="00340506"/>
    <w:rsid w:val="00341062"/>
    <w:rsid w:val="00352CB8"/>
    <w:rsid w:val="003538B9"/>
    <w:rsid w:val="003606AF"/>
    <w:rsid w:val="00361951"/>
    <w:rsid w:val="0036231E"/>
    <w:rsid w:val="0036331E"/>
    <w:rsid w:val="00364A23"/>
    <w:rsid w:val="0037092C"/>
    <w:rsid w:val="00374731"/>
    <w:rsid w:val="003803A2"/>
    <w:rsid w:val="00381D67"/>
    <w:rsid w:val="00383520"/>
    <w:rsid w:val="00383533"/>
    <w:rsid w:val="00386735"/>
    <w:rsid w:val="00387C4F"/>
    <w:rsid w:val="00397497"/>
    <w:rsid w:val="003A143D"/>
    <w:rsid w:val="003A6E33"/>
    <w:rsid w:val="003A730E"/>
    <w:rsid w:val="003B0CF1"/>
    <w:rsid w:val="003B1C5B"/>
    <w:rsid w:val="003B3A88"/>
    <w:rsid w:val="003B4ACE"/>
    <w:rsid w:val="003C0048"/>
    <w:rsid w:val="003C35F5"/>
    <w:rsid w:val="003C3FDE"/>
    <w:rsid w:val="003C5A9F"/>
    <w:rsid w:val="003C663C"/>
    <w:rsid w:val="003D193C"/>
    <w:rsid w:val="003D229F"/>
    <w:rsid w:val="003D347B"/>
    <w:rsid w:val="003D3C6C"/>
    <w:rsid w:val="003D547A"/>
    <w:rsid w:val="003D60A4"/>
    <w:rsid w:val="003D621B"/>
    <w:rsid w:val="003D6AF1"/>
    <w:rsid w:val="003D73B3"/>
    <w:rsid w:val="003E125F"/>
    <w:rsid w:val="003E4754"/>
    <w:rsid w:val="003E5087"/>
    <w:rsid w:val="003E72E1"/>
    <w:rsid w:val="003E7E6D"/>
    <w:rsid w:val="003F09FB"/>
    <w:rsid w:val="003F2D39"/>
    <w:rsid w:val="003F3466"/>
    <w:rsid w:val="003F595C"/>
    <w:rsid w:val="003F73AD"/>
    <w:rsid w:val="004036BC"/>
    <w:rsid w:val="00406D61"/>
    <w:rsid w:val="004074FE"/>
    <w:rsid w:val="00410199"/>
    <w:rsid w:val="00411600"/>
    <w:rsid w:val="0041399A"/>
    <w:rsid w:val="0042417A"/>
    <w:rsid w:val="00426961"/>
    <w:rsid w:val="00426FA1"/>
    <w:rsid w:val="004276B3"/>
    <w:rsid w:val="00427968"/>
    <w:rsid w:val="00430CE3"/>
    <w:rsid w:val="0043224E"/>
    <w:rsid w:val="00433B49"/>
    <w:rsid w:val="004358B2"/>
    <w:rsid w:val="0044241E"/>
    <w:rsid w:val="0044430E"/>
    <w:rsid w:val="00444A6A"/>
    <w:rsid w:val="00447504"/>
    <w:rsid w:val="00451481"/>
    <w:rsid w:val="00452F6C"/>
    <w:rsid w:val="00456CD0"/>
    <w:rsid w:val="00461732"/>
    <w:rsid w:val="0046214A"/>
    <w:rsid w:val="004637DA"/>
    <w:rsid w:val="00463E2C"/>
    <w:rsid w:val="00464968"/>
    <w:rsid w:val="0046556F"/>
    <w:rsid w:val="004722B9"/>
    <w:rsid w:val="00480A30"/>
    <w:rsid w:val="00484FBA"/>
    <w:rsid w:val="0048546F"/>
    <w:rsid w:val="004861BD"/>
    <w:rsid w:val="0048710B"/>
    <w:rsid w:val="00487D76"/>
    <w:rsid w:val="00490842"/>
    <w:rsid w:val="00492624"/>
    <w:rsid w:val="00495EE2"/>
    <w:rsid w:val="00496944"/>
    <w:rsid w:val="004A163B"/>
    <w:rsid w:val="004A49F4"/>
    <w:rsid w:val="004A5ABC"/>
    <w:rsid w:val="004A6491"/>
    <w:rsid w:val="004B2A61"/>
    <w:rsid w:val="004B4233"/>
    <w:rsid w:val="004B5108"/>
    <w:rsid w:val="004B6174"/>
    <w:rsid w:val="004C0061"/>
    <w:rsid w:val="004C20D9"/>
    <w:rsid w:val="004C63DF"/>
    <w:rsid w:val="004D04DB"/>
    <w:rsid w:val="004D2A01"/>
    <w:rsid w:val="004D3018"/>
    <w:rsid w:val="004D6FAB"/>
    <w:rsid w:val="004E40BA"/>
    <w:rsid w:val="0050021D"/>
    <w:rsid w:val="005008C0"/>
    <w:rsid w:val="005077D2"/>
    <w:rsid w:val="00514A6E"/>
    <w:rsid w:val="00515E36"/>
    <w:rsid w:val="005228CE"/>
    <w:rsid w:val="005234DF"/>
    <w:rsid w:val="00523ED8"/>
    <w:rsid w:val="00524A32"/>
    <w:rsid w:val="00532640"/>
    <w:rsid w:val="00533E59"/>
    <w:rsid w:val="00544700"/>
    <w:rsid w:val="00563D36"/>
    <w:rsid w:val="005641C6"/>
    <w:rsid w:val="00564EB9"/>
    <w:rsid w:val="00565D09"/>
    <w:rsid w:val="00567D60"/>
    <w:rsid w:val="00573661"/>
    <w:rsid w:val="00573EE0"/>
    <w:rsid w:val="005825B9"/>
    <w:rsid w:val="0058291A"/>
    <w:rsid w:val="00584F41"/>
    <w:rsid w:val="00585CFB"/>
    <w:rsid w:val="00585D45"/>
    <w:rsid w:val="00585F6B"/>
    <w:rsid w:val="005940A6"/>
    <w:rsid w:val="005A3CC4"/>
    <w:rsid w:val="005B0F6D"/>
    <w:rsid w:val="005B27D7"/>
    <w:rsid w:val="005B3850"/>
    <w:rsid w:val="005B52A6"/>
    <w:rsid w:val="005B6FA7"/>
    <w:rsid w:val="005B7B94"/>
    <w:rsid w:val="005C0FD4"/>
    <w:rsid w:val="005C1AE5"/>
    <w:rsid w:val="005C1B2B"/>
    <w:rsid w:val="005C427F"/>
    <w:rsid w:val="005C6513"/>
    <w:rsid w:val="005D153D"/>
    <w:rsid w:val="005D549B"/>
    <w:rsid w:val="005D55B2"/>
    <w:rsid w:val="005E26C0"/>
    <w:rsid w:val="005E537C"/>
    <w:rsid w:val="005E73E5"/>
    <w:rsid w:val="005E78A4"/>
    <w:rsid w:val="005F0056"/>
    <w:rsid w:val="005F1CE7"/>
    <w:rsid w:val="005F2D9E"/>
    <w:rsid w:val="005F3BB4"/>
    <w:rsid w:val="005F4023"/>
    <w:rsid w:val="005F4169"/>
    <w:rsid w:val="005F49E2"/>
    <w:rsid w:val="005F660F"/>
    <w:rsid w:val="0060049D"/>
    <w:rsid w:val="006005A5"/>
    <w:rsid w:val="00600E5F"/>
    <w:rsid w:val="0060217B"/>
    <w:rsid w:val="00603B9B"/>
    <w:rsid w:val="00606053"/>
    <w:rsid w:val="00606996"/>
    <w:rsid w:val="00610326"/>
    <w:rsid w:val="00612CF4"/>
    <w:rsid w:val="006133C1"/>
    <w:rsid w:val="00613C1B"/>
    <w:rsid w:val="00615D93"/>
    <w:rsid w:val="00616722"/>
    <w:rsid w:val="00621C47"/>
    <w:rsid w:val="00622116"/>
    <w:rsid w:val="00623791"/>
    <w:rsid w:val="00624DA4"/>
    <w:rsid w:val="00631534"/>
    <w:rsid w:val="00635F88"/>
    <w:rsid w:val="0063658A"/>
    <w:rsid w:val="006428E6"/>
    <w:rsid w:val="00646E01"/>
    <w:rsid w:val="0065166B"/>
    <w:rsid w:val="00652A4F"/>
    <w:rsid w:val="006650D6"/>
    <w:rsid w:val="0066630C"/>
    <w:rsid w:val="006676E0"/>
    <w:rsid w:val="00667B16"/>
    <w:rsid w:val="00674931"/>
    <w:rsid w:val="0067588E"/>
    <w:rsid w:val="00682746"/>
    <w:rsid w:val="006857E1"/>
    <w:rsid w:val="00685F76"/>
    <w:rsid w:val="00686D87"/>
    <w:rsid w:val="00687E64"/>
    <w:rsid w:val="006927CD"/>
    <w:rsid w:val="0069782B"/>
    <w:rsid w:val="006A0002"/>
    <w:rsid w:val="006A5B2B"/>
    <w:rsid w:val="006A6876"/>
    <w:rsid w:val="006A6D23"/>
    <w:rsid w:val="006B34E2"/>
    <w:rsid w:val="006B4770"/>
    <w:rsid w:val="006B56F9"/>
    <w:rsid w:val="006B58AE"/>
    <w:rsid w:val="006B5A19"/>
    <w:rsid w:val="006C4B68"/>
    <w:rsid w:val="006D0154"/>
    <w:rsid w:val="006E3D6F"/>
    <w:rsid w:val="006F0182"/>
    <w:rsid w:val="006F64DE"/>
    <w:rsid w:val="006F6E60"/>
    <w:rsid w:val="006F7829"/>
    <w:rsid w:val="006F7DC3"/>
    <w:rsid w:val="00706293"/>
    <w:rsid w:val="00707F8A"/>
    <w:rsid w:val="00713CED"/>
    <w:rsid w:val="00720B75"/>
    <w:rsid w:val="00720EE9"/>
    <w:rsid w:val="0072300E"/>
    <w:rsid w:val="0072521F"/>
    <w:rsid w:val="00726ED6"/>
    <w:rsid w:val="00727346"/>
    <w:rsid w:val="007346A9"/>
    <w:rsid w:val="00734BC5"/>
    <w:rsid w:val="00744A2E"/>
    <w:rsid w:val="00746DBA"/>
    <w:rsid w:val="007477E8"/>
    <w:rsid w:val="007509B6"/>
    <w:rsid w:val="00756EB3"/>
    <w:rsid w:val="00756EDB"/>
    <w:rsid w:val="007607D4"/>
    <w:rsid w:val="00761555"/>
    <w:rsid w:val="007643A2"/>
    <w:rsid w:val="00766663"/>
    <w:rsid w:val="007716CA"/>
    <w:rsid w:val="00773FCD"/>
    <w:rsid w:val="00783EFC"/>
    <w:rsid w:val="00786011"/>
    <w:rsid w:val="00786CD4"/>
    <w:rsid w:val="00787E8C"/>
    <w:rsid w:val="00794344"/>
    <w:rsid w:val="00796EC7"/>
    <w:rsid w:val="007A287A"/>
    <w:rsid w:val="007A32B8"/>
    <w:rsid w:val="007A3E4E"/>
    <w:rsid w:val="007A49B7"/>
    <w:rsid w:val="007A6981"/>
    <w:rsid w:val="007A7AD1"/>
    <w:rsid w:val="007B030C"/>
    <w:rsid w:val="007B40CF"/>
    <w:rsid w:val="007B4123"/>
    <w:rsid w:val="007B4B03"/>
    <w:rsid w:val="007B75E9"/>
    <w:rsid w:val="007C7608"/>
    <w:rsid w:val="007C7E4F"/>
    <w:rsid w:val="007D2D38"/>
    <w:rsid w:val="007D3117"/>
    <w:rsid w:val="007D5470"/>
    <w:rsid w:val="007E0D4C"/>
    <w:rsid w:val="007E1C32"/>
    <w:rsid w:val="007E72F1"/>
    <w:rsid w:val="007F28E3"/>
    <w:rsid w:val="007F372D"/>
    <w:rsid w:val="007F6DB8"/>
    <w:rsid w:val="007F726C"/>
    <w:rsid w:val="0080085C"/>
    <w:rsid w:val="00807386"/>
    <w:rsid w:val="008150CA"/>
    <w:rsid w:val="00816D71"/>
    <w:rsid w:val="00817973"/>
    <w:rsid w:val="008179E5"/>
    <w:rsid w:val="008232A9"/>
    <w:rsid w:val="0083315B"/>
    <w:rsid w:val="00840D39"/>
    <w:rsid w:val="00844183"/>
    <w:rsid w:val="00846C78"/>
    <w:rsid w:val="0085227A"/>
    <w:rsid w:val="008543D8"/>
    <w:rsid w:val="008609AE"/>
    <w:rsid w:val="008624E3"/>
    <w:rsid w:val="008635AA"/>
    <w:rsid w:val="00863B71"/>
    <w:rsid w:val="008641CE"/>
    <w:rsid w:val="00864E8C"/>
    <w:rsid w:val="00867032"/>
    <w:rsid w:val="008749B3"/>
    <w:rsid w:val="0087657A"/>
    <w:rsid w:val="00884DD1"/>
    <w:rsid w:val="00891282"/>
    <w:rsid w:val="00891D3A"/>
    <w:rsid w:val="00891DBC"/>
    <w:rsid w:val="00893090"/>
    <w:rsid w:val="00894CA1"/>
    <w:rsid w:val="008973FC"/>
    <w:rsid w:val="008A46B4"/>
    <w:rsid w:val="008A4DF3"/>
    <w:rsid w:val="008A69C5"/>
    <w:rsid w:val="008B2310"/>
    <w:rsid w:val="008B3263"/>
    <w:rsid w:val="008B650C"/>
    <w:rsid w:val="008C1DD1"/>
    <w:rsid w:val="008C2AB4"/>
    <w:rsid w:val="008C4F66"/>
    <w:rsid w:val="008C6862"/>
    <w:rsid w:val="008D402F"/>
    <w:rsid w:val="008D7ADE"/>
    <w:rsid w:val="008E34F6"/>
    <w:rsid w:val="008F0FF0"/>
    <w:rsid w:val="008F2F82"/>
    <w:rsid w:val="008F3D0B"/>
    <w:rsid w:val="009057CC"/>
    <w:rsid w:val="00913C11"/>
    <w:rsid w:val="00916A49"/>
    <w:rsid w:val="00917B14"/>
    <w:rsid w:val="00925A7C"/>
    <w:rsid w:val="00932BA6"/>
    <w:rsid w:val="00933E33"/>
    <w:rsid w:val="00936741"/>
    <w:rsid w:val="009368C3"/>
    <w:rsid w:val="00936925"/>
    <w:rsid w:val="00941EF9"/>
    <w:rsid w:val="00942CF7"/>
    <w:rsid w:val="00943E21"/>
    <w:rsid w:val="009469CF"/>
    <w:rsid w:val="00946F48"/>
    <w:rsid w:val="00950E94"/>
    <w:rsid w:val="0096008D"/>
    <w:rsid w:val="00967125"/>
    <w:rsid w:val="00981653"/>
    <w:rsid w:val="0099597F"/>
    <w:rsid w:val="00996557"/>
    <w:rsid w:val="00997E19"/>
    <w:rsid w:val="009A0BA3"/>
    <w:rsid w:val="009A2E50"/>
    <w:rsid w:val="009A31ED"/>
    <w:rsid w:val="009A57DA"/>
    <w:rsid w:val="009A71F6"/>
    <w:rsid w:val="009A77B9"/>
    <w:rsid w:val="009B1037"/>
    <w:rsid w:val="009B2721"/>
    <w:rsid w:val="009B2731"/>
    <w:rsid w:val="009B319C"/>
    <w:rsid w:val="009B4420"/>
    <w:rsid w:val="009B4829"/>
    <w:rsid w:val="009B4A39"/>
    <w:rsid w:val="009B6B38"/>
    <w:rsid w:val="009C04E9"/>
    <w:rsid w:val="009C27BC"/>
    <w:rsid w:val="009C2C34"/>
    <w:rsid w:val="009C3A69"/>
    <w:rsid w:val="009C4AAF"/>
    <w:rsid w:val="009D0081"/>
    <w:rsid w:val="009D1460"/>
    <w:rsid w:val="009E2500"/>
    <w:rsid w:val="009E2541"/>
    <w:rsid w:val="009E36EA"/>
    <w:rsid w:val="009E39A6"/>
    <w:rsid w:val="009E50C2"/>
    <w:rsid w:val="009F2E80"/>
    <w:rsid w:val="009F4890"/>
    <w:rsid w:val="009F4EAB"/>
    <w:rsid w:val="009F5EE1"/>
    <w:rsid w:val="009F77BC"/>
    <w:rsid w:val="009F79F5"/>
    <w:rsid w:val="00A01433"/>
    <w:rsid w:val="00A01EA5"/>
    <w:rsid w:val="00A01FCD"/>
    <w:rsid w:val="00A04978"/>
    <w:rsid w:val="00A054BA"/>
    <w:rsid w:val="00A103FC"/>
    <w:rsid w:val="00A11096"/>
    <w:rsid w:val="00A2227D"/>
    <w:rsid w:val="00A22821"/>
    <w:rsid w:val="00A24162"/>
    <w:rsid w:val="00A266DB"/>
    <w:rsid w:val="00A32A00"/>
    <w:rsid w:val="00A353A6"/>
    <w:rsid w:val="00A408AD"/>
    <w:rsid w:val="00A40941"/>
    <w:rsid w:val="00A41661"/>
    <w:rsid w:val="00A41D95"/>
    <w:rsid w:val="00A471E6"/>
    <w:rsid w:val="00A51D62"/>
    <w:rsid w:val="00A52BE6"/>
    <w:rsid w:val="00A52DF7"/>
    <w:rsid w:val="00A54BE2"/>
    <w:rsid w:val="00A60CB0"/>
    <w:rsid w:val="00A63813"/>
    <w:rsid w:val="00A639BC"/>
    <w:rsid w:val="00A66B86"/>
    <w:rsid w:val="00A67C74"/>
    <w:rsid w:val="00A71036"/>
    <w:rsid w:val="00A719FA"/>
    <w:rsid w:val="00A72B53"/>
    <w:rsid w:val="00A735E8"/>
    <w:rsid w:val="00A74723"/>
    <w:rsid w:val="00A76699"/>
    <w:rsid w:val="00A77D52"/>
    <w:rsid w:val="00A817A7"/>
    <w:rsid w:val="00A84A68"/>
    <w:rsid w:val="00A84BE7"/>
    <w:rsid w:val="00A84E11"/>
    <w:rsid w:val="00A86509"/>
    <w:rsid w:val="00A900DF"/>
    <w:rsid w:val="00A902C7"/>
    <w:rsid w:val="00A91527"/>
    <w:rsid w:val="00A92D2F"/>
    <w:rsid w:val="00A93979"/>
    <w:rsid w:val="00A93D0B"/>
    <w:rsid w:val="00A97C08"/>
    <w:rsid w:val="00AA2483"/>
    <w:rsid w:val="00AA24FF"/>
    <w:rsid w:val="00AA2DF0"/>
    <w:rsid w:val="00AA359B"/>
    <w:rsid w:val="00AA65A8"/>
    <w:rsid w:val="00AB2C87"/>
    <w:rsid w:val="00AB3878"/>
    <w:rsid w:val="00AB6395"/>
    <w:rsid w:val="00AB7A7F"/>
    <w:rsid w:val="00AC322F"/>
    <w:rsid w:val="00AC3A51"/>
    <w:rsid w:val="00AC3F3C"/>
    <w:rsid w:val="00AC5D4F"/>
    <w:rsid w:val="00AD01CC"/>
    <w:rsid w:val="00AD2615"/>
    <w:rsid w:val="00AD60F8"/>
    <w:rsid w:val="00AD6FB9"/>
    <w:rsid w:val="00AE2172"/>
    <w:rsid w:val="00AE26B8"/>
    <w:rsid w:val="00AE523F"/>
    <w:rsid w:val="00AE7BB7"/>
    <w:rsid w:val="00AF17B3"/>
    <w:rsid w:val="00AF6BC1"/>
    <w:rsid w:val="00AF6E54"/>
    <w:rsid w:val="00B022F6"/>
    <w:rsid w:val="00B02AD2"/>
    <w:rsid w:val="00B043AE"/>
    <w:rsid w:val="00B108BC"/>
    <w:rsid w:val="00B1503D"/>
    <w:rsid w:val="00B157DA"/>
    <w:rsid w:val="00B206DF"/>
    <w:rsid w:val="00B245C4"/>
    <w:rsid w:val="00B266DC"/>
    <w:rsid w:val="00B31C67"/>
    <w:rsid w:val="00B3496B"/>
    <w:rsid w:val="00B35C5B"/>
    <w:rsid w:val="00B35D86"/>
    <w:rsid w:val="00B41DAB"/>
    <w:rsid w:val="00B4446A"/>
    <w:rsid w:val="00B453FC"/>
    <w:rsid w:val="00B461EF"/>
    <w:rsid w:val="00B5327C"/>
    <w:rsid w:val="00B5435D"/>
    <w:rsid w:val="00B5588D"/>
    <w:rsid w:val="00B558BD"/>
    <w:rsid w:val="00B61590"/>
    <w:rsid w:val="00B6338E"/>
    <w:rsid w:val="00B652D6"/>
    <w:rsid w:val="00B7004B"/>
    <w:rsid w:val="00B73203"/>
    <w:rsid w:val="00B76DC7"/>
    <w:rsid w:val="00B8258E"/>
    <w:rsid w:val="00B83C8E"/>
    <w:rsid w:val="00B843B7"/>
    <w:rsid w:val="00B84A2C"/>
    <w:rsid w:val="00B86418"/>
    <w:rsid w:val="00B870A9"/>
    <w:rsid w:val="00B87D2D"/>
    <w:rsid w:val="00B92A75"/>
    <w:rsid w:val="00B94408"/>
    <w:rsid w:val="00B95C0D"/>
    <w:rsid w:val="00BA1E9D"/>
    <w:rsid w:val="00BB252D"/>
    <w:rsid w:val="00BB2FDE"/>
    <w:rsid w:val="00BC0122"/>
    <w:rsid w:val="00BC1740"/>
    <w:rsid w:val="00BC3F88"/>
    <w:rsid w:val="00BD292C"/>
    <w:rsid w:val="00BD3DB5"/>
    <w:rsid w:val="00BD4602"/>
    <w:rsid w:val="00BD658C"/>
    <w:rsid w:val="00BE0ED5"/>
    <w:rsid w:val="00BE5085"/>
    <w:rsid w:val="00BE6542"/>
    <w:rsid w:val="00BF041B"/>
    <w:rsid w:val="00BF485B"/>
    <w:rsid w:val="00BF6B97"/>
    <w:rsid w:val="00BF7A23"/>
    <w:rsid w:val="00C00591"/>
    <w:rsid w:val="00C0078A"/>
    <w:rsid w:val="00C01C1D"/>
    <w:rsid w:val="00C01F45"/>
    <w:rsid w:val="00C04855"/>
    <w:rsid w:val="00C06AAC"/>
    <w:rsid w:val="00C111AC"/>
    <w:rsid w:val="00C141D5"/>
    <w:rsid w:val="00C152BE"/>
    <w:rsid w:val="00C175DE"/>
    <w:rsid w:val="00C17723"/>
    <w:rsid w:val="00C211C2"/>
    <w:rsid w:val="00C2658B"/>
    <w:rsid w:val="00C27CC5"/>
    <w:rsid w:val="00C30D30"/>
    <w:rsid w:val="00C43154"/>
    <w:rsid w:val="00C51085"/>
    <w:rsid w:val="00C51460"/>
    <w:rsid w:val="00C54C5B"/>
    <w:rsid w:val="00C57E0C"/>
    <w:rsid w:val="00C61C91"/>
    <w:rsid w:val="00C62153"/>
    <w:rsid w:val="00C743C3"/>
    <w:rsid w:val="00C74A3D"/>
    <w:rsid w:val="00C7555E"/>
    <w:rsid w:val="00C76A28"/>
    <w:rsid w:val="00C778B6"/>
    <w:rsid w:val="00C83327"/>
    <w:rsid w:val="00C83BF7"/>
    <w:rsid w:val="00C94D13"/>
    <w:rsid w:val="00C952B9"/>
    <w:rsid w:val="00C95998"/>
    <w:rsid w:val="00C96CAA"/>
    <w:rsid w:val="00CA0431"/>
    <w:rsid w:val="00CA41F7"/>
    <w:rsid w:val="00CB0F50"/>
    <w:rsid w:val="00CC5222"/>
    <w:rsid w:val="00CD0DD4"/>
    <w:rsid w:val="00CE3B2A"/>
    <w:rsid w:val="00CE3D14"/>
    <w:rsid w:val="00CE3E1D"/>
    <w:rsid w:val="00CE57E7"/>
    <w:rsid w:val="00CE6DD3"/>
    <w:rsid w:val="00CE7028"/>
    <w:rsid w:val="00CF02BF"/>
    <w:rsid w:val="00CF0A08"/>
    <w:rsid w:val="00CF2805"/>
    <w:rsid w:val="00CF2C2E"/>
    <w:rsid w:val="00CF3355"/>
    <w:rsid w:val="00D00286"/>
    <w:rsid w:val="00D00BBC"/>
    <w:rsid w:val="00D01256"/>
    <w:rsid w:val="00D0661E"/>
    <w:rsid w:val="00D14FF7"/>
    <w:rsid w:val="00D1516D"/>
    <w:rsid w:val="00D153B3"/>
    <w:rsid w:val="00D15EC1"/>
    <w:rsid w:val="00D16977"/>
    <w:rsid w:val="00D17BD4"/>
    <w:rsid w:val="00D21DD9"/>
    <w:rsid w:val="00D30B5D"/>
    <w:rsid w:val="00D3269D"/>
    <w:rsid w:val="00D33EE0"/>
    <w:rsid w:val="00D368D1"/>
    <w:rsid w:val="00D42375"/>
    <w:rsid w:val="00D425B8"/>
    <w:rsid w:val="00D43D99"/>
    <w:rsid w:val="00D46C47"/>
    <w:rsid w:val="00D5003F"/>
    <w:rsid w:val="00D51E3D"/>
    <w:rsid w:val="00D5714D"/>
    <w:rsid w:val="00D629B4"/>
    <w:rsid w:val="00D63AAF"/>
    <w:rsid w:val="00D6726C"/>
    <w:rsid w:val="00D67BC7"/>
    <w:rsid w:val="00D7127C"/>
    <w:rsid w:val="00D73BFD"/>
    <w:rsid w:val="00D74FC0"/>
    <w:rsid w:val="00D76096"/>
    <w:rsid w:val="00D77653"/>
    <w:rsid w:val="00D818CE"/>
    <w:rsid w:val="00D83D0A"/>
    <w:rsid w:val="00D83E2A"/>
    <w:rsid w:val="00D844F1"/>
    <w:rsid w:val="00D84757"/>
    <w:rsid w:val="00D87C85"/>
    <w:rsid w:val="00D93420"/>
    <w:rsid w:val="00D962B1"/>
    <w:rsid w:val="00D96F28"/>
    <w:rsid w:val="00DA4797"/>
    <w:rsid w:val="00DA4829"/>
    <w:rsid w:val="00DA6CC7"/>
    <w:rsid w:val="00DA7ED3"/>
    <w:rsid w:val="00DB05B1"/>
    <w:rsid w:val="00DB5AC0"/>
    <w:rsid w:val="00DB5DD1"/>
    <w:rsid w:val="00DB7671"/>
    <w:rsid w:val="00DB7766"/>
    <w:rsid w:val="00DC1B9B"/>
    <w:rsid w:val="00DC4EB7"/>
    <w:rsid w:val="00DC5306"/>
    <w:rsid w:val="00DC5B7E"/>
    <w:rsid w:val="00DC6F9E"/>
    <w:rsid w:val="00DD0E37"/>
    <w:rsid w:val="00DD2919"/>
    <w:rsid w:val="00DD7070"/>
    <w:rsid w:val="00DE5CEA"/>
    <w:rsid w:val="00DE78A9"/>
    <w:rsid w:val="00DF1DB1"/>
    <w:rsid w:val="00DF2A33"/>
    <w:rsid w:val="00DF4DE5"/>
    <w:rsid w:val="00E01B8E"/>
    <w:rsid w:val="00E028ED"/>
    <w:rsid w:val="00E04DD3"/>
    <w:rsid w:val="00E05374"/>
    <w:rsid w:val="00E05730"/>
    <w:rsid w:val="00E06044"/>
    <w:rsid w:val="00E12CB7"/>
    <w:rsid w:val="00E13F0B"/>
    <w:rsid w:val="00E16459"/>
    <w:rsid w:val="00E25EED"/>
    <w:rsid w:val="00E27965"/>
    <w:rsid w:val="00E30755"/>
    <w:rsid w:val="00E3132C"/>
    <w:rsid w:val="00E35678"/>
    <w:rsid w:val="00E37749"/>
    <w:rsid w:val="00E3785C"/>
    <w:rsid w:val="00E40EF8"/>
    <w:rsid w:val="00E415E4"/>
    <w:rsid w:val="00E41B54"/>
    <w:rsid w:val="00E41EB4"/>
    <w:rsid w:val="00E426A8"/>
    <w:rsid w:val="00E42EE3"/>
    <w:rsid w:val="00E441F2"/>
    <w:rsid w:val="00E5174C"/>
    <w:rsid w:val="00E524F1"/>
    <w:rsid w:val="00E53C2C"/>
    <w:rsid w:val="00E546A4"/>
    <w:rsid w:val="00E56580"/>
    <w:rsid w:val="00E57092"/>
    <w:rsid w:val="00E57E0D"/>
    <w:rsid w:val="00E6102D"/>
    <w:rsid w:val="00E65396"/>
    <w:rsid w:val="00E65884"/>
    <w:rsid w:val="00E70027"/>
    <w:rsid w:val="00E717CF"/>
    <w:rsid w:val="00E7360F"/>
    <w:rsid w:val="00E7397F"/>
    <w:rsid w:val="00E73F3F"/>
    <w:rsid w:val="00E74B6C"/>
    <w:rsid w:val="00E75BA1"/>
    <w:rsid w:val="00E80857"/>
    <w:rsid w:val="00E85AB4"/>
    <w:rsid w:val="00E87A48"/>
    <w:rsid w:val="00E938F7"/>
    <w:rsid w:val="00E93ACB"/>
    <w:rsid w:val="00E93CF0"/>
    <w:rsid w:val="00E94DED"/>
    <w:rsid w:val="00E9563B"/>
    <w:rsid w:val="00E9563E"/>
    <w:rsid w:val="00E97064"/>
    <w:rsid w:val="00E97C9B"/>
    <w:rsid w:val="00EA1B64"/>
    <w:rsid w:val="00EA35E8"/>
    <w:rsid w:val="00EA6542"/>
    <w:rsid w:val="00EB0296"/>
    <w:rsid w:val="00EB126A"/>
    <w:rsid w:val="00EB1BCF"/>
    <w:rsid w:val="00EB1DFD"/>
    <w:rsid w:val="00EC169E"/>
    <w:rsid w:val="00EC3CF8"/>
    <w:rsid w:val="00ED176E"/>
    <w:rsid w:val="00ED23EC"/>
    <w:rsid w:val="00ED32B6"/>
    <w:rsid w:val="00ED5507"/>
    <w:rsid w:val="00EE0C65"/>
    <w:rsid w:val="00EE48C4"/>
    <w:rsid w:val="00EF075F"/>
    <w:rsid w:val="00F008DB"/>
    <w:rsid w:val="00F04E64"/>
    <w:rsid w:val="00F04ED0"/>
    <w:rsid w:val="00F20DD1"/>
    <w:rsid w:val="00F2197C"/>
    <w:rsid w:val="00F25577"/>
    <w:rsid w:val="00F25E58"/>
    <w:rsid w:val="00F270DF"/>
    <w:rsid w:val="00F317DA"/>
    <w:rsid w:val="00F35498"/>
    <w:rsid w:val="00F41A2F"/>
    <w:rsid w:val="00F42AE2"/>
    <w:rsid w:val="00F4607B"/>
    <w:rsid w:val="00F468BC"/>
    <w:rsid w:val="00F53F6C"/>
    <w:rsid w:val="00F5609F"/>
    <w:rsid w:val="00F56EF2"/>
    <w:rsid w:val="00F573B1"/>
    <w:rsid w:val="00F578A8"/>
    <w:rsid w:val="00F63B5E"/>
    <w:rsid w:val="00F641F0"/>
    <w:rsid w:val="00F77B2A"/>
    <w:rsid w:val="00F8064C"/>
    <w:rsid w:val="00F81486"/>
    <w:rsid w:val="00F912AF"/>
    <w:rsid w:val="00F9133E"/>
    <w:rsid w:val="00F91874"/>
    <w:rsid w:val="00F92340"/>
    <w:rsid w:val="00F94667"/>
    <w:rsid w:val="00FA0762"/>
    <w:rsid w:val="00FA585C"/>
    <w:rsid w:val="00FA68FC"/>
    <w:rsid w:val="00FA7B63"/>
    <w:rsid w:val="00FB2A39"/>
    <w:rsid w:val="00FB70B3"/>
    <w:rsid w:val="00FC3382"/>
    <w:rsid w:val="00FC6C56"/>
    <w:rsid w:val="00FD4A6C"/>
    <w:rsid w:val="00FE1E0B"/>
    <w:rsid w:val="00FE6FBF"/>
    <w:rsid w:val="00FF48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9"/>
    <o:shapelayout v:ext="edit">
      <o:idmap v:ext="edit" data="1"/>
    </o:shapelayout>
  </w:shapeDefaults>
  <w:decimalSymbol w:val=","/>
  <w:listSeparator w:val=";"/>
  <w14:docId w14:val="529D4F2F"/>
  <w15:chartTrackingRefBased/>
  <w15:docId w15:val="{2390F4A6-38C9-462E-A75E-8136B429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1037"/>
  </w:style>
  <w:style w:type="paragraph" w:styleId="Nagwek1">
    <w:name w:val="heading 1"/>
    <w:basedOn w:val="Normalny"/>
    <w:next w:val="Normalny"/>
    <w:link w:val="Nagwek1Znak"/>
    <w:uiPriority w:val="9"/>
    <w:qFormat/>
    <w:rsid w:val="009B1037"/>
    <w:pPr>
      <w:keepNext/>
      <w:keepLines/>
      <w:spacing w:before="240" w:after="0" w:line="360" w:lineRule="auto"/>
      <w:outlineLvl w:val="0"/>
    </w:pPr>
    <w:rPr>
      <w:rFonts w:ascii="Calibri" w:eastAsiaTheme="majorEastAsia" w:hAnsi="Calibri" w:cstheme="majorBidi"/>
      <w:b/>
      <w:color w:val="2683C6" w:themeColor="accent6"/>
      <w:sz w:val="32"/>
      <w:szCs w:val="32"/>
    </w:rPr>
  </w:style>
  <w:style w:type="paragraph" w:styleId="Nagwek2">
    <w:name w:val="heading 2"/>
    <w:basedOn w:val="Normalny"/>
    <w:next w:val="Normalny"/>
    <w:link w:val="Nagwek2Znak"/>
    <w:uiPriority w:val="9"/>
    <w:unhideWhenUsed/>
    <w:qFormat/>
    <w:rsid w:val="009B1037"/>
    <w:pPr>
      <w:keepNext/>
      <w:keepLines/>
      <w:spacing w:before="40" w:after="0" w:line="360" w:lineRule="auto"/>
      <w:outlineLvl w:val="1"/>
    </w:pPr>
    <w:rPr>
      <w:rFonts w:ascii="Calibri" w:eastAsiaTheme="majorEastAsia" w:hAnsi="Calibri" w:cstheme="majorBidi"/>
      <w:color w:val="276E8B"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B1037"/>
    <w:rPr>
      <w:rFonts w:ascii="Calibri" w:eastAsiaTheme="majorEastAsia" w:hAnsi="Calibri" w:cstheme="majorBidi"/>
      <w:b/>
      <w:color w:val="2683C6" w:themeColor="accent6"/>
      <w:sz w:val="32"/>
      <w:szCs w:val="32"/>
    </w:rPr>
  </w:style>
  <w:style w:type="character" w:customStyle="1" w:styleId="Nagwek2Znak">
    <w:name w:val="Nagłówek 2 Znak"/>
    <w:basedOn w:val="Domylnaczcionkaakapitu"/>
    <w:link w:val="Nagwek2"/>
    <w:uiPriority w:val="9"/>
    <w:rsid w:val="009B1037"/>
    <w:rPr>
      <w:rFonts w:ascii="Calibri" w:eastAsiaTheme="majorEastAsia" w:hAnsi="Calibri" w:cstheme="majorBidi"/>
      <w:color w:val="276E8B" w:themeColor="accent1" w:themeShade="BF"/>
      <w:sz w:val="26"/>
      <w:szCs w:val="26"/>
    </w:rPr>
  </w:style>
  <w:style w:type="paragraph" w:styleId="Nagwekspisutreci">
    <w:name w:val="TOC Heading"/>
    <w:basedOn w:val="Nagwek1"/>
    <w:next w:val="Normalny"/>
    <w:uiPriority w:val="39"/>
    <w:unhideWhenUsed/>
    <w:qFormat/>
    <w:rsid w:val="003A6E33"/>
    <w:pPr>
      <w:outlineLvl w:val="9"/>
    </w:pPr>
    <w:rPr>
      <w:lang w:eastAsia="pl-PL"/>
    </w:rPr>
  </w:style>
  <w:style w:type="paragraph" w:styleId="Spistreci1">
    <w:name w:val="toc 1"/>
    <w:basedOn w:val="Normalny"/>
    <w:next w:val="Normalny"/>
    <w:autoRedefine/>
    <w:uiPriority w:val="39"/>
    <w:unhideWhenUsed/>
    <w:rsid w:val="00A22821"/>
    <w:pPr>
      <w:spacing w:before="240" w:after="0" w:line="360" w:lineRule="auto"/>
    </w:pPr>
    <w:rPr>
      <w:b/>
      <w:color w:val="2683C6" w:themeColor="accent6"/>
    </w:rPr>
  </w:style>
  <w:style w:type="paragraph" w:styleId="Spistreci2">
    <w:name w:val="toc 2"/>
    <w:basedOn w:val="Normalny"/>
    <w:next w:val="Normalny"/>
    <w:autoRedefine/>
    <w:uiPriority w:val="39"/>
    <w:unhideWhenUsed/>
    <w:rsid w:val="003A6E33"/>
    <w:pPr>
      <w:spacing w:after="100"/>
      <w:ind w:left="220"/>
    </w:pPr>
  </w:style>
  <w:style w:type="character" w:styleId="Hipercze">
    <w:name w:val="Hyperlink"/>
    <w:basedOn w:val="Domylnaczcionkaakapitu"/>
    <w:uiPriority w:val="99"/>
    <w:unhideWhenUsed/>
    <w:rsid w:val="003A6E33"/>
    <w:rPr>
      <w:color w:val="6B9F25" w:themeColor="hyperlink"/>
      <w:u w:val="single"/>
    </w:rPr>
  </w:style>
  <w:style w:type="table" w:styleId="Tabela-Siatka">
    <w:name w:val="Table Grid"/>
    <w:basedOn w:val="Standardowy"/>
    <w:uiPriority w:val="39"/>
    <w:rsid w:val="00A01433"/>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aliases w:val="Podrozdział,Tekst przypisu,Tekst przypisu dolnego Znak Znak Znak,Tekst przypisu dolnego Znak Znak Znak Znak,Tekst przypisu dolnego1 Znak Znak,Tekst przypisu dolnego11,o,Footnote,Podrozdzia3,Fußnote,-E Fuﬂnotentext,-E Fußnotentext"/>
    <w:basedOn w:val="Normalny"/>
    <w:link w:val="TekstprzypisudolnegoZnak"/>
    <w:uiPriority w:val="99"/>
    <w:unhideWhenUsed/>
    <w:qFormat/>
    <w:rsid w:val="00C01C1D"/>
    <w:pPr>
      <w:spacing w:after="0" w:line="240" w:lineRule="auto"/>
    </w:pPr>
    <w:rPr>
      <w:kern w:val="2"/>
      <w:sz w:val="20"/>
      <w:szCs w:val="20"/>
      <w14:ligatures w14:val="standardContextual"/>
    </w:rPr>
  </w:style>
  <w:style w:type="character" w:customStyle="1" w:styleId="TekstprzypisudolnegoZnak">
    <w:name w:val="Tekst przypisu dolnego Znak"/>
    <w:aliases w:val="Podrozdział Znak,Tekst przypisu Znak,Tekst przypisu dolnego Znak Znak Znak Znak1,Tekst przypisu dolnego Znak Znak Znak Znak Znak,Tekst przypisu dolnego1 Znak Znak Znak,Tekst przypisu dolnego11 Znak,o Znak,Footnote Znak"/>
    <w:basedOn w:val="Domylnaczcionkaakapitu"/>
    <w:link w:val="Tekstprzypisudolnego"/>
    <w:uiPriority w:val="99"/>
    <w:rsid w:val="00C01C1D"/>
    <w:rPr>
      <w:kern w:val="2"/>
      <w:sz w:val="20"/>
      <w:szCs w:val="20"/>
      <w14:ligatures w14:val="standardContextual"/>
    </w:rPr>
  </w:style>
  <w:style w:type="character" w:styleId="Odwoanieprzypisudolnego">
    <w:name w:val="footnote reference"/>
    <w:aliases w:val="Odwo³anie przypisu,Odwołanie przypisu,Footnote Reference Number,EN Footnote Reference,Times 10 Point,Exposant 3 Point,Footnote symbol,Footnote reference number,note TESI,stylish,SUPERS,Footnote number,Ref,de nota al pie,number"/>
    <w:basedOn w:val="Domylnaczcionkaakapitu"/>
    <w:uiPriority w:val="99"/>
    <w:unhideWhenUsed/>
    <w:qFormat/>
    <w:rsid w:val="00C01C1D"/>
    <w:rPr>
      <w:vertAlign w:val="superscript"/>
    </w:rPr>
  </w:style>
  <w:style w:type="character" w:styleId="Odwoaniedokomentarza">
    <w:name w:val="annotation reference"/>
    <w:basedOn w:val="Domylnaczcionkaakapitu"/>
    <w:uiPriority w:val="99"/>
    <w:semiHidden/>
    <w:unhideWhenUsed/>
    <w:rsid w:val="008F2F82"/>
    <w:rPr>
      <w:sz w:val="16"/>
      <w:szCs w:val="16"/>
    </w:rPr>
  </w:style>
  <w:style w:type="paragraph" w:styleId="Tekstkomentarza">
    <w:name w:val="annotation text"/>
    <w:basedOn w:val="Normalny"/>
    <w:link w:val="TekstkomentarzaZnak"/>
    <w:uiPriority w:val="99"/>
    <w:semiHidden/>
    <w:unhideWhenUsed/>
    <w:rsid w:val="008F2F8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F2F82"/>
    <w:rPr>
      <w:sz w:val="20"/>
      <w:szCs w:val="20"/>
    </w:rPr>
  </w:style>
  <w:style w:type="paragraph" w:styleId="Tematkomentarza">
    <w:name w:val="annotation subject"/>
    <w:basedOn w:val="Tekstkomentarza"/>
    <w:next w:val="Tekstkomentarza"/>
    <w:link w:val="TematkomentarzaZnak"/>
    <w:uiPriority w:val="99"/>
    <w:semiHidden/>
    <w:unhideWhenUsed/>
    <w:rsid w:val="008F2F82"/>
    <w:rPr>
      <w:b/>
      <w:bCs/>
    </w:rPr>
  </w:style>
  <w:style w:type="character" w:customStyle="1" w:styleId="TematkomentarzaZnak">
    <w:name w:val="Temat komentarza Znak"/>
    <w:basedOn w:val="TekstkomentarzaZnak"/>
    <w:link w:val="Tematkomentarza"/>
    <w:uiPriority w:val="99"/>
    <w:semiHidden/>
    <w:rsid w:val="008F2F82"/>
    <w:rPr>
      <w:b/>
      <w:bCs/>
      <w:sz w:val="20"/>
      <w:szCs w:val="20"/>
    </w:rPr>
  </w:style>
  <w:style w:type="paragraph" w:styleId="Tekstdymka">
    <w:name w:val="Balloon Text"/>
    <w:basedOn w:val="Normalny"/>
    <w:link w:val="TekstdymkaZnak"/>
    <w:uiPriority w:val="99"/>
    <w:semiHidden/>
    <w:unhideWhenUsed/>
    <w:rsid w:val="008F2F8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F82"/>
    <w:rPr>
      <w:rFonts w:ascii="Segoe UI" w:hAnsi="Segoe UI" w:cs="Segoe UI"/>
      <w:sz w:val="18"/>
      <w:szCs w:val="18"/>
    </w:rPr>
  </w:style>
  <w:style w:type="paragraph" w:styleId="Legenda">
    <w:name w:val="caption"/>
    <w:basedOn w:val="Normalny"/>
    <w:next w:val="Normalny"/>
    <w:uiPriority w:val="35"/>
    <w:unhideWhenUsed/>
    <w:qFormat/>
    <w:rsid w:val="00AC3A51"/>
    <w:pPr>
      <w:spacing w:after="200" w:line="240" w:lineRule="auto"/>
    </w:pPr>
    <w:rPr>
      <w:i/>
      <w:iCs/>
      <w:color w:val="373545" w:themeColor="text2"/>
      <w:kern w:val="2"/>
      <w:sz w:val="18"/>
      <w:szCs w:val="18"/>
      <w14:ligatures w14:val="standardContextual"/>
    </w:rPr>
  </w:style>
  <w:style w:type="paragraph" w:styleId="Akapitzlist">
    <w:name w:val="List Paragraph"/>
    <w:aliases w:val="L1,Akapit z listą5,EPL lista punktowana z wyrózneniem,Akapit z listą BS"/>
    <w:basedOn w:val="Normalny"/>
    <w:link w:val="AkapitzlistZnak"/>
    <w:uiPriority w:val="34"/>
    <w:qFormat/>
    <w:rsid w:val="00167824"/>
    <w:pPr>
      <w:ind w:left="720"/>
      <w:contextualSpacing/>
    </w:pPr>
    <w:rPr>
      <w:kern w:val="2"/>
      <w14:ligatures w14:val="standardContextual"/>
    </w:rPr>
  </w:style>
  <w:style w:type="character" w:customStyle="1" w:styleId="AkapitzlistZnak">
    <w:name w:val="Akapit z listą Znak"/>
    <w:aliases w:val="L1 Znak,Akapit z listą5 Znak,EPL lista punktowana z wyrózneniem Znak,Akapit z listą BS Znak"/>
    <w:link w:val="Akapitzlist"/>
    <w:uiPriority w:val="34"/>
    <w:qFormat/>
    <w:locked/>
    <w:rsid w:val="00167824"/>
    <w:rPr>
      <w:kern w:val="2"/>
      <w14:ligatures w14:val="standardContextual"/>
    </w:rPr>
  </w:style>
  <w:style w:type="paragraph" w:styleId="Stopka">
    <w:name w:val="footer"/>
    <w:basedOn w:val="Normalny"/>
    <w:link w:val="StopkaZnak"/>
    <w:uiPriority w:val="99"/>
    <w:unhideWhenUsed/>
    <w:rsid w:val="005F1CE7"/>
    <w:pPr>
      <w:tabs>
        <w:tab w:val="center" w:pos="4536"/>
        <w:tab w:val="right" w:pos="9072"/>
      </w:tabs>
      <w:spacing w:after="0" w:line="240" w:lineRule="auto"/>
    </w:pPr>
    <w:rPr>
      <w:kern w:val="2"/>
      <w14:ligatures w14:val="standardContextual"/>
    </w:rPr>
  </w:style>
  <w:style w:type="character" w:customStyle="1" w:styleId="StopkaZnak">
    <w:name w:val="Stopka Znak"/>
    <w:basedOn w:val="Domylnaczcionkaakapitu"/>
    <w:link w:val="Stopka"/>
    <w:uiPriority w:val="99"/>
    <w:rsid w:val="005F1CE7"/>
    <w:rPr>
      <w:kern w:val="2"/>
      <w14:ligatures w14:val="standardContextual"/>
    </w:rPr>
  </w:style>
  <w:style w:type="character" w:customStyle="1" w:styleId="Znakiprzypiswdolnych">
    <w:name w:val="Znaki przypisów dolnych"/>
    <w:rsid w:val="00884DD1"/>
  </w:style>
  <w:style w:type="paragraph" w:styleId="Nagwek">
    <w:name w:val="header"/>
    <w:basedOn w:val="Normalny"/>
    <w:link w:val="NagwekZnak"/>
    <w:uiPriority w:val="99"/>
    <w:unhideWhenUsed/>
    <w:rsid w:val="00A228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2821"/>
  </w:style>
  <w:style w:type="paragraph" w:styleId="Spisilustracji">
    <w:name w:val="table of figures"/>
    <w:basedOn w:val="Normalny"/>
    <w:next w:val="Normalny"/>
    <w:uiPriority w:val="99"/>
    <w:unhideWhenUsed/>
    <w:rsid w:val="003B4ACE"/>
    <w:pPr>
      <w:spacing w:after="0"/>
    </w:pPr>
    <w:rPr>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88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diagramColors" Target="diagrams/colors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Layout" Target="diagrams/layout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diagramQuickStyle" Target="diagrams/quickStyle1.xm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07/relationships/diagramDrawing" Target="diagrams/drawing2.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Colors" Target="diagrams/colors2.xml"/><Relationship Id="rId10" Type="http://schemas.openxmlformats.org/officeDocument/2006/relationships/header" Target="header1.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g"/><Relationship Id="rId22" Type="http://schemas.openxmlformats.org/officeDocument/2006/relationships/diagramQuickStyle" Target="diagrams/quickStyle2.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4_5">
  <dgm:title val=""/>
  <dgm:desc val=""/>
  <dgm:catLst>
    <dgm:cat type="accent4" pri="11500"/>
  </dgm:catLst>
  <dgm:styleLbl name="node0">
    <dgm:fillClrLst meth="cycle">
      <a:schemeClr val="accent4">
        <a:alpha val="80000"/>
      </a:schemeClr>
    </dgm:fillClrLst>
    <dgm:linClrLst meth="repeat">
      <a:schemeClr val="lt1"/>
    </dgm:linClrLst>
    <dgm:effectClrLst/>
    <dgm:txLinClrLst/>
    <dgm:txFillClrLst/>
    <dgm:txEffectClrLst/>
  </dgm:styleLbl>
  <dgm:styleLbl name="node1">
    <dgm:fillClrLst>
      <a:schemeClr val="accent4">
        <a:alpha val="90000"/>
      </a:schemeClr>
      <a:schemeClr val="accent4">
        <a:alpha val="50000"/>
      </a:schemeClr>
    </dgm:fillClrLst>
    <dgm:linClrLst meth="repeat">
      <a:schemeClr val="lt1"/>
    </dgm:linClrLst>
    <dgm:effectClrLst/>
    <dgm:txLinClrLst/>
    <dgm:txFillClrLst/>
    <dgm:txEffectClrLst/>
  </dgm:styleLbl>
  <dgm:styleLbl name="alignNode1">
    <dgm:fillClrLst>
      <a:schemeClr val="accent4">
        <a:alpha val="90000"/>
      </a:schemeClr>
      <a:schemeClr val="accent4">
        <a:alpha val="50000"/>
      </a:schemeClr>
    </dgm:fillClrLst>
    <dgm:linClrLst>
      <a:schemeClr val="accent4">
        <a:alpha val="90000"/>
      </a:schemeClr>
      <a:schemeClr val="accent4">
        <a:alpha val="50000"/>
      </a:schemeClr>
    </dgm:linClrLst>
    <dgm:effectClrLst/>
    <dgm:txLinClrLst/>
    <dgm:txFillClrLst/>
    <dgm:txEffectClrLst/>
  </dgm:styleLbl>
  <dgm:styleLbl name="lnNode1">
    <dgm:fillClrLst>
      <a:schemeClr val="accent4">
        <a:shade val="90000"/>
      </a:schemeClr>
      <a:schemeClr val="accent4">
        <a:alpha val="50000"/>
        <a:tint val="5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alpha val="80000"/>
      </a:schemeClr>
    </dgm:fillClrLst>
    <dgm:linClrLst meth="repeat">
      <a:schemeClr val="lt1"/>
    </dgm:linClrLst>
    <dgm:effectClrLst/>
    <dgm:txLinClrLst/>
    <dgm:txFillClrLst/>
    <dgm:txEffectClrLst/>
  </dgm:styleLbl>
  <dgm:styleLbl name="node2">
    <dgm:fillClrLst>
      <a:schemeClr val="accent4">
        <a:alpha val="70000"/>
      </a:schemeClr>
    </dgm:fillClrLst>
    <dgm:linClrLst meth="repeat">
      <a:schemeClr val="lt1"/>
    </dgm:linClrLst>
    <dgm:effectClrLst/>
    <dgm:txLinClrLst/>
    <dgm:txFillClrLst/>
    <dgm:txEffectClrLst/>
  </dgm:styleLbl>
  <dgm:styleLbl name="node3">
    <dgm:fillClrLst>
      <a:schemeClr val="accent4">
        <a:alpha val="50000"/>
      </a:schemeClr>
    </dgm:fillClrLst>
    <dgm:linClrLst meth="repeat">
      <a:schemeClr val="lt1"/>
    </dgm:linClrLst>
    <dgm:effectClrLst/>
    <dgm:txLinClrLst/>
    <dgm:txFillClrLst/>
    <dgm:txEffectClrLst/>
  </dgm:styleLbl>
  <dgm:styleLbl name="node4">
    <dgm:fillClrLst>
      <a:schemeClr val="accent4">
        <a:alpha val="30000"/>
      </a:schemeClr>
    </dgm:fillClrLst>
    <dgm:linClrLst meth="repeat">
      <a:schemeClr val="lt1"/>
    </dgm:linClrLst>
    <dgm:effectClrLst/>
    <dgm:txLinClrLst/>
    <dgm:txFillClrLst/>
    <dgm:txEffectClrLst/>
  </dgm:styleLbl>
  <dgm:styleLbl name="fgImgPlace1">
    <dgm:fillClrLst>
      <a:schemeClr val="accent4">
        <a:tint val="50000"/>
        <a:alpha val="90000"/>
      </a:schemeClr>
      <a:schemeClr val="accent4">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f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b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sibTrans1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alpha val="90000"/>
      </a:schemeClr>
    </dgm:fillClrLst>
    <dgm:linClrLst meth="repeat">
      <a:schemeClr val="lt1"/>
    </dgm:linClrLst>
    <dgm:effectClrLst/>
    <dgm:txLinClrLst/>
    <dgm:txFillClrLst/>
    <dgm:txEffectClrLst/>
  </dgm:styleLbl>
  <dgm:styleLbl name="asst1">
    <dgm:fillClrLst meth="repeat">
      <a:schemeClr val="accent4">
        <a:alpha val="90000"/>
      </a:schemeClr>
    </dgm:fillClrLst>
    <dgm:linClrLst meth="repeat">
      <a:schemeClr val="lt1"/>
    </dgm:linClrLst>
    <dgm:effectClrLst/>
    <dgm:txLinClrLst/>
    <dgm:txFillClrLst/>
    <dgm:txEffectClrLst/>
  </dgm:styleLbl>
  <dgm:styleLbl name="asst2">
    <dgm:fillClrLst>
      <a:schemeClr val="accent4">
        <a:alpha val="90000"/>
      </a:schemeClr>
    </dgm:fillClrLst>
    <dgm:linClrLst meth="repeat">
      <a:schemeClr val="lt1"/>
    </dgm:linClrLst>
    <dgm:effectClrLst/>
    <dgm:txLinClrLst/>
    <dgm:txFillClrLst/>
    <dgm:txEffectClrLst/>
  </dgm:styleLbl>
  <dgm:styleLbl name="asst3">
    <dgm:fillClrLst>
      <a:schemeClr val="accent4">
        <a:alpha val="70000"/>
      </a:schemeClr>
    </dgm:fillClrLst>
    <dgm:linClrLst meth="repeat">
      <a:schemeClr val="lt1"/>
    </dgm:linClrLst>
    <dgm:effectClrLst/>
    <dgm:txLinClrLst/>
    <dgm:txFillClrLst/>
    <dgm:txEffectClrLst/>
  </dgm:styleLbl>
  <dgm:styleLbl name="asst4">
    <dgm:fillClrLst>
      <a:schemeClr val="accent4">
        <a:alpha val="50000"/>
      </a:schemeClr>
    </dgm:fillClrLst>
    <dgm:linClrLst meth="repeat">
      <a:schemeClr val="lt1"/>
    </dgm:linClrLst>
    <dgm:effectClrLst/>
    <dgm:txLinClrLst/>
    <dgm:txFillClrLst/>
    <dgm:txEffectClrLst/>
  </dgm:styleLbl>
  <dgm:styleLbl name="parChTrans2D1">
    <dgm:fillClrLst meth="repeat">
      <a:schemeClr val="accent4">
        <a:shade val="8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a:schemeClr val="accent4">
        <a:alpha val="90000"/>
        <a:tint val="40000"/>
      </a:schemeClr>
      <a:schemeClr val="accent4">
        <a:alpha val="5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E4EE61-E946-449C-81EA-52F8EA97FA37}" type="doc">
      <dgm:prSet loTypeId="urn:microsoft.com/office/officeart/2005/8/layout/default" loCatId="list" qsTypeId="urn:microsoft.com/office/officeart/2005/8/quickstyle/simple1" qsCatId="simple" csTypeId="urn:microsoft.com/office/officeart/2005/8/colors/colorful1" csCatId="colorful" phldr="1"/>
      <dgm:spPr/>
      <dgm:t>
        <a:bodyPr/>
        <a:lstStyle/>
        <a:p>
          <a:endParaRPr lang="pl-PL"/>
        </a:p>
      </dgm:t>
    </dgm:pt>
    <dgm:pt modelId="{902B011E-E942-46CA-8EA0-2C77A5EEAC5D}">
      <dgm:prSet phldrT="[Tekst]"/>
      <dgm:spPr/>
      <dgm:t>
        <a:bodyPr/>
        <a:lstStyle/>
        <a:p>
          <a:pPr algn="ctr">
            <a:buFont typeface="Wingdings" panose="05000000000000000000" pitchFamily="2" charset="2"/>
            <a:buNone/>
          </a:pPr>
          <a:r>
            <a:rPr lang="pl-PL"/>
            <a:t>Atrakcyjne położenie i walory przyrodniczo-krajobrazowe Jury Krakowsko-Częstochowskiej</a:t>
          </a:r>
        </a:p>
      </dgm:t>
    </dgm:pt>
    <dgm:pt modelId="{40EEEAD4-2161-4617-847B-1BBE63E08C48}" type="parTrans" cxnId="{F13846AB-3656-4A5D-812E-6B1A2BCAFCBD}">
      <dgm:prSet/>
      <dgm:spPr/>
      <dgm:t>
        <a:bodyPr/>
        <a:lstStyle/>
        <a:p>
          <a:pPr algn="ctr"/>
          <a:endParaRPr lang="pl-PL"/>
        </a:p>
      </dgm:t>
    </dgm:pt>
    <dgm:pt modelId="{DA1A1E6A-7546-4AAA-A00D-30892FF147D5}" type="sibTrans" cxnId="{F13846AB-3656-4A5D-812E-6B1A2BCAFCBD}">
      <dgm:prSet/>
      <dgm:spPr/>
      <dgm:t>
        <a:bodyPr/>
        <a:lstStyle/>
        <a:p>
          <a:pPr algn="ctr"/>
          <a:endParaRPr lang="pl-PL"/>
        </a:p>
      </dgm:t>
    </dgm:pt>
    <dgm:pt modelId="{D93BC538-F579-4F1D-89FA-41092C03844A}">
      <dgm:prSet phldrT="[Tekst]"/>
      <dgm:spPr/>
      <dgm:t>
        <a:bodyPr/>
        <a:lstStyle/>
        <a:p>
          <a:pPr algn="ctr">
            <a:buFont typeface="Wingdings" panose="05000000000000000000" pitchFamily="2" charset="2"/>
            <a:buNone/>
          </a:pPr>
          <a:r>
            <a:rPr lang="pl-PL"/>
            <a:t>Bogate niematerialne dziedzictwo historyczno-kulturowe: tradycje górnicze</a:t>
          </a:r>
        </a:p>
      </dgm:t>
    </dgm:pt>
    <dgm:pt modelId="{7AC996D4-93D1-4183-8CE4-77DC914F80F0}" type="parTrans" cxnId="{D09405D8-8FF1-4093-8E6C-917BC3A7E06A}">
      <dgm:prSet/>
      <dgm:spPr/>
      <dgm:t>
        <a:bodyPr/>
        <a:lstStyle/>
        <a:p>
          <a:pPr algn="ctr"/>
          <a:endParaRPr lang="pl-PL"/>
        </a:p>
      </dgm:t>
    </dgm:pt>
    <dgm:pt modelId="{B7BF31CF-0111-4244-8664-2D1C3A3AD0C9}" type="sibTrans" cxnId="{D09405D8-8FF1-4093-8E6C-917BC3A7E06A}">
      <dgm:prSet/>
      <dgm:spPr/>
      <dgm:t>
        <a:bodyPr/>
        <a:lstStyle/>
        <a:p>
          <a:pPr algn="ctr"/>
          <a:endParaRPr lang="pl-PL"/>
        </a:p>
      </dgm:t>
    </dgm:pt>
    <dgm:pt modelId="{3A7216CB-246A-4FB6-BE1D-2265FBD62C00}">
      <dgm:prSet phldrT="[Tekst]"/>
      <dgm:spPr>
        <a:solidFill>
          <a:schemeClr val="accent1"/>
        </a:solidFill>
      </dgm:spPr>
      <dgm:t>
        <a:bodyPr/>
        <a:lstStyle/>
        <a:p>
          <a:pPr algn="ctr">
            <a:buFont typeface="Wingdings" panose="05000000000000000000" pitchFamily="2" charset="2"/>
            <a:buNone/>
          </a:pPr>
          <a:r>
            <a:rPr lang="pl-PL"/>
            <a:t>Bogate zasoby materialnego dziedzictwa historyczno-kulturowego: zabytki, obiekty pogórnicze  </a:t>
          </a:r>
        </a:p>
      </dgm:t>
    </dgm:pt>
    <dgm:pt modelId="{EEA5A498-0B32-4D68-9F8D-281AD1D0F4F8}" type="parTrans" cxnId="{FD7AF4B5-5162-40BC-9C3E-C9797CF91666}">
      <dgm:prSet/>
      <dgm:spPr/>
      <dgm:t>
        <a:bodyPr/>
        <a:lstStyle/>
        <a:p>
          <a:pPr algn="ctr"/>
          <a:endParaRPr lang="pl-PL"/>
        </a:p>
      </dgm:t>
    </dgm:pt>
    <dgm:pt modelId="{32CE1BD2-2007-48C3-B312-4B71ECBFA3A3}" type="sibTrans" cxnId="{FD7AF4B5-5162-40BC-9C3E-C9797CF91666}">
      <dgm:prSet/>
      <dgm:spPr/>
      <dgm:t>
        <a:bodyPr/>
        <a:lstStyle/>
        <a:p>
          <a:pPr algn="ctr"/>
          <a:endParaRPr lang="pl-PL"/>
        </a:p>
      </dgm:t>
    </dgm:pt>
    <dgm:pt modelId="{0027417C-91A4-4938-AEB9-FCFED939E950}">
      <dgm:prSet phldrT="[Tekst]"/>
      <dgm:spPr/>
      <dgm:t>
        <a:bodyPr/>
        <a:lstStyle/>
        <a:p>
          <a:pPr algn="ctr">
            <a:buFont typeface="Wingdings" panose="05000000000000000000" pitchFamily="2" charset="2"/>
            <a:buNone/>
          </a:pPr>
          <a:r>
            <a:rPr lang="pl-PL"/>
            <a:t>Dogodna lokalizacja między Górnośląsko-Zagłębiowską Metropolią a Aglomeracją Krakowską</a:t>
          </a:r>
        </a:p>
      </dgm:t>
    </dgm:pt>
    <dgm:pt modelId="{2D618885-3560-4A04-8DB5-469139AD348D}" type="parTrans" cxnId="{26BECF06-9EA4-4044-963F-BB02E843B102}">
      <dgm:prSet/>
      <dgm:spPr/>
      <dgm:t>
        <a:bodyPr/>
        <a:lstStyle/>
        <a:p>
          <a:pPr algn="ctr"/>
          <a:endParaRPr lang="pl-PL"/>
        </a:p>
      </dgm:t>
    </dgm:pt>
    <dgm:pt modelId="{104E08D6-51CA-4754-B517-D417D55BAC1C}" type="sibTrans" cxnId="{26BECF06-9EA4-4044-963F-BB02E843B102}">
      <dgm:prSet/>
      <dgm:spPr/>
      <dgm:t>
        <a:bodyPr/>
        <a:lstStyle/>
        <a:p>
          <a:pPr algn="ctr"/>
          <a:endParaRPr lang="pl-PL"/>
        </a:p>
      </dgm:t>
    </dgm:pt>
    <dgm:pt modelId="{82EC7F58-8B1F-4312-9E12-046E69B3EC48}">
      <dgm:prSet phldrT="[Tekst]"/>
      <dgm:spPr/>
      <dgm:t>
        <a:bodyPr/>
        <a:lstStyle/>
        <a:p>
          <a:pPr algn="ctr">
            <a:buFont typeface="Wingdings" panose="05000000000000000000" pitchFamily="2" charset="2"/>
            <a:buNone/>
          </a:pPr>
          <a:r>
            <a:rPr lang="pl-PL"/>
            <a:t>Wysokie natężenie ruchu turystycznego w powiecie olkuskim</a:t>
          </a:r>
        </a:p>
      </dgm:t>
    </dgm:pt>
    <dgm:pt modelId="{08B9D2E4-E2A1-416A-A03A-7E0F86080CCB}" type="parTrans" cxnId="{8CCD3664-073D-493E-9CA8-266A032B30F4}">
      <dgm:prSet/>
      <dgm:spPr/>
      <dgm:t>
        <a:bodyPr/>
        <a:lstStyle/>
        <a:p>
          <a:pPr algn="ctr"/>
          <a:endParaRPr lang="pl-PL"/>
        </a:p>
      </dgm:t>
    </dgm:pt>
    <dgm:pt modelId="{B1C0221F-4790-47AB-9A8F-287C3572C013}" type="sibTrans" cxnId="{8CCD3664-073D-493E-9CA8-266A032B30F4}">
      <dgm:prSet/>
      <dgm:spPr/>
      <dgm:t>
        <a:bodyPr/>
        <a:lstStyle/>
        <a:p>
          <a:pPr algn="ctr"/>
          <a:endParaRPr lang="pl-PL"/>
        </a:p>
      </dgm:t>
    </dgm:pt>
    <dgm:pt modelId="{D291389B-14AA-4157-8E9B-2BA1156E3353}">
      <dgm:prSet phldrT="[Tekst]"/>
      <dgm:spPr/>
      <dgm:t>
        <a:bodyPr/>
        <a:lstStyle/>
        <a:p>
          <a:pPr>
            <a:buFont typeface="Wingdings" panose="05000000000000000000" pitchFamily="2" charset="2"/>
          </a:pPr>
          <a:r>
            <a:rPr lang="pl-PL"/>
            <a:t>Baza infrastruktury turystycznej, sportowo-rekreacyjnej</a:t>
          </a:r>
        </a:p>
      </dgm:t>
    </dgm:pt>
    <dgm:pt modelId="{834B3BDE-4362-454C-BF6F-02B111CFB7D2}" type="parTrans" cxnId="{051016DF-1863-487F-820C-6C1DF99ED896}">
      <dgm:prSet/>
      <dgm:spPr/>
      <dgm:t>
        <a:bodyPr/>
        <a:lstStyle/>
        <a:p>
          <a:endParaRPr lang="pl-PL"/>
        </a:p>
      </dgm:t>
    </dgm:pt>
    <dgm:pt modelId="{377FD304-144E-4F01-A7F5-9B633F4F94CD}" type="sibTrans" cxnId="{051016DF-1863-487F-820C-6C1DF99ED896}">
      <dgm:prSet/>
      <dgm:spPr/>
      <dgm:t>
        <a:bodyPr/>
        <a:lstStyle/>
        <a:p>
          <a:endParaRPr lang="pl-PL"/>
        </a:p>
      </dgm:t>
    </dgm:pt>
    <dgm:pt modelId="{3F343583-E660-434D-B3DF-64C69B9D3358}" type="pres">
      <dgm:prSet presAssocID="{38E4EE61-E946-449C-81EA-52F8EA97FA37}" presName="diagram" presStyleCnt="0">
        <dgm:presLayoutVars>
          <dgm:dir/>
          <dgm:resizeHandles val="exact"/>
        </dgm:presLayoutVars>
      </dgm:prSet>
      <dgm:spPr/>
      <dgm:t>
        <a:bodyPr/>
        <a:lstStyle/>
        <a:p>
          <a:endParaRPr lang="pl-PL"/>
        </a:p>
      </dgm:t>
    </dgm:pt>
    <dgm:pt modelId="{A8982508-6FBA-485A-8C2D-3EFA4F1EA45A}" type="pres">
      <dgm:prSet presAssocID="{902B011E-E942-46CA-8EA0-2C77A5EEAC5D}" presName="node" presStyleLbl="node1" presStyleIdx="0" presStyleCnt="6">
        <dgm:presLayoutVars>
          <dgm:bulletEnabled val="1"/>
        </dgm:presLayoutVars>
      </dgm:prSet>
      <dgm:spPr/>
      <dgm:t>
        <a:bodyPr/>
        <a:lstStyle/>
        <a:p>
          <a:endParaRPr lang="pl-PL"/>
        </a:p>
      </dgm:t>
    </dgm:pt>
    <dgm:pt modelId="{1A206263-BB2E-407E-AA6E-FD8F01F360FC}" type="pres">
      <dgm:prSet presAssocID="{DA1A1E6A-7546-4AAA-A00D-30892FF147D5}" presName="sibTrans" presStyleCnt="0"/>
      <dgm:spPr/>
      <dgm:t>
        <a:bodyPr/>
        <a:lstStyle/>
        <a:p>
          <a:endParaRPr lang="pl-PL"/>
        </a:p>
      </dgm:t>
    </dgm:pt>
    <dgm:pt modelId="{67425755-7272-4C3F-965F-F0F4385106A6}" type="pres">
      <dgm:prSet presAssocID="{D93BC538-F579-4F1D-89FA-41092C03844A}" presName="node" presStyleLbl="node1" presStyleIdx="1" presStyleCnt="6">
        <dgm:presLayoutVars>
          <dgm:bulletEnabled val="1"/>
        </dgm:presLayoutVars>
      </dgm:prSet>
      <dgm:spPr/>
      <dgm:t>
        <a:bodyPr/>
        <a:lstStyle/>
        <a:p>
          <a:endParaRPr lang="pl-PL"/>
        </a:p>
      </dgm:t>
    </dgm:pt>
    <dgm:pt modelId="{72C2FF32-D576-4280-B016-62F4FC2DF4EE}" type="pres">
      <dgm:prSet presAssocID="{B7BF31CF-0111-4244-8664-2D1C3A3AD0C9}" presName="sibTrans" presStyleCnt="0"/>
      <dgm:spPr/>
      <dgm:t>
        <a:bodyPr/>
        <a:lstStyle/>
        <a:p>
          <a:endParaRPr lang="pl-PL"/>
        </a:p>
      </dgm:t>
    </dgm:pt>
    <dgm:pt modelId="{E1E7EFB7-3EDE-4C0E-A796-F666DE52720F}" type="pres">
      <dgm:prSet presAssocID="{3A7216CB-246A-4FB6-BE1D-2265FBD62C00}" presName="node" presStyleLbl="node1" presStyleIdx="2" presStyleCnt="6">
        <dgm:presLayoutVars>
          <dgm:bulletEnabled val="1"/>
        </dgm:presLayoutVars>
      </dgm:prSet>
      <dgm:spPr/>
      <dgm:t>
        <a:bodyPr/>
        <a:lstStyle/>
        <a:p>
          <a:endParaRPr lang="pl-PL"/>
        </a:p>
      </dgm:t>
    </dgm:pt>
    <dgm:pt modelId="{F15A7A72-6527-4050-9036-698C715D2F46}" type="pres">
      <dgm:prSet presAssocID="{32CE1BD2-2007-48C3-B312-4B71ECBFA3A3}" presName="sibTrans" presStyleCnt="0"/>
      <dgm:spPr/>
      <dgm:t>
        <a:bodyPr/>
        <a:lstStyle/>
        <a:p>
          <a:endParaRPr lang="pl-PL"/>
        </a:p>
      </dgm:t>
    </dgm:pt>
    <dgm:pt modelId="{B86C4CF2-6060-4EAE-968F-C131FC8D6031}" type="pres">
      <dgm:prSet presAssocID="{0027417C-91A4-4938-AEB9-FCFED939E950}" presName="node" presStyleLbl="node1" presStyleIdx="3" presStyleCnt="6">
        <dgm:presLayoutVars>
          <dgm:bulletEnabled val="1"/>
        </dgm:presLayoutVars>
      </dgm:prSet>
      <dgm:spPr/>
      <dgm:t>
        <a:bodyPr/>
        <a:lstStyle/>
        <a:p>
          <a:endParaRPr lang="pl-PL"/>
        </a:p>
      </dgm:t>
    </dgm:pt>
    <dgm:pt modelId="{C6231DFC-1D1B-46F6-B389-F4C06988E9D2}" type="pres">
      <dgm:prSet presAssocID="{104E08D6-51CA-4754-B517-D417D55BAC1C}" presName="sibTrans" presStyleCnt="0"/>
      <dgm:spPr/>
      <dgm:t>
        <a:bodyPr/>
        <a:lstStyle/>
        <a:p>
          <a:endParaRPr lang="pl-PL"/>
        </a:p>
      </dgm:t>
    </dgm:pt>
    <dgm:pt modelId="{42BF43EF-D155-43CC-8A49-C2DCDB22C8FB}" type="pres">
      <dgm:prSet presAssocID="{82EC7F58-8B1F-4312-9E12-046E69B3EC48}" presName="node" presStyleLbl="node1" presStyleIdx="4" presStyleCnt="6">
        <dgm:presLayoutVars>
          <dgm:bulletEnabled val="1"/>
        </dgm:presLayoutVars>
      </dgm:prSet>
      <dgm:spPr/>
      <dgm:t>
        <a:bodyPr/>
        <a:lstStyle/>
        <a:p>
          <a:endParaRPr lang="pl-PL"/>
        </a:p>
      </dgm:t>
    </dgm:pt>
    <dgm:pt modelId="{B0473F72-3824-4FF0-9367-0C4C201338CF}" type="pres">
      <dgm:prSet presAssocID="{B1C0221F-4790-47AB-9A8F-287C3572C013}" presName="sibTrans" presStyleCnt="0"/>
      <dgm:spPr/>
      <dgm:t>
        <a:bodyPr/>
        <a:lstStyle/>
        <a:p>
          <a:endParaRPr lang="pl-PL"/>
        </a:p>
      </dgm:t>
    </dgm:pt>
    <dgm:pt modelId="{42CC7165-321D-46BE-A52B-25E360FC6E9C}" type="pres">
      <dgm:prSet presAssocID="{D291389B-14AA-4157-8E9B-2BA1156E3353}" presName="node" presStyleLbl="node1" presStyleIdx="5" presStyleCnt="6">
        <dgm:presLayoutVars>
          <dgm:bulletEnabled val="1"/>
        </dgm:presLayoutVars>
      </dgm:prSet>
      <dgm:spPr/>
      <dgm:t>
        <a:bodyPr/>
        <a:lstStyle/>
        <a:p>
          <a:endParaRPr lang="pl-PL"/>
        </a:p>
      </dgm:t>
    </dgm:pt>
  </dgm:ptLst>
  <dgm:cxnLst>
    <dgm:cxn modelId="{960C78EA-2FB5-4B8C-B63A-40996B28B8F1}" type="presOf" srcId="{D93BC538-F579-4F1D-89FA-41092C03844A}" destId="{67425755-7272-4C3F-965F-F0F4385106A6}" srcOrd="0" destOrd="0" presId="urn:microsoft.com/office/officeart/2005/8/layout/default"/>
    <dgm:cxn modelId="{F13846AB-3656-4A5D-812E-6B1A2BCAFCBD}" srcId="{38E4EE61-E946-449C-81EA-52F8EA97FA37}" destId="{902B011E-E942-46CA-8EA0-2C77A5EEAC5D}" srcOrd="0" destOrd="0" parTransId="{40EEEAD4-2161-4617-847B-1BBE63E08C48}" sibTransId="{DA1A1E6A-7546-4AAA-A00D-30892FF147D5}"/>
    <dgm:cxn modelId="{26BECF06-9EA4-4044-963F-BB02E843B102}" srcId="{38E4EE61-E946-449C-81EA-52F8EA97FA37}" destId="{0027417C-91A4-4938-AEB9-FCFED939E950}" srcOrd="3" destOrd="0" parTransId="{2D618885-3560-4A04-8DB5-469139AD348D}" sibTransId="{104E08D6-51CA-4754-B517-D417D55BAC1C}"/>
    <dgm:cxn modelId="{FD7AF4B5-5162-40BC-9C3E-C9797CF91666}" srcId="{38E4EE61-E946-449C-81EA-52F8EA97FA37}" destId="{3A7216CB-246A-4FB6-BE1D-2265FBD62C00}" srcOrd="2" destOrd="0" parTransId="{EEA5A498-0B32-4D68-9F8D-281AD1D0F4F8}" sibTransId="{32CE1BD2-2007-48C3-B312-4B71ECBFA3A3}"/>
    <dgm:cxn modelId="{65428F71-E5B1-4C32-BEB0-C33F02997FC9}" type="presOf" srcId="{38E4EE61-E946-449C-81EA-52F8EA97FA37}" destId="{3F343583-E660-434D-B3DF-64C69B9D3358}" srcOrd="0" destOrd="0" presId="urn:microsoft.com/office/officeart/2005/8/layout/default"/>
    <dgm:cxn modelId="{523037F7-2B46-4EE7-AD3A-1565FD15F8D5}" type="presOf" srcId="{0027417C-91A4-4938-AEB9-FCFED939E950}" destId="{B86C4CF2-6060-4EAE-968F-C131FC8D6031}" srcOrd="0" destOrd="0" presId="urn:microsoft.com/office/officeart/2005/8/layout/default"/>
    <dgm:cxn modelId="{5FDD9920-7312-4E0E-9961-71648394C49A}" type="presOf" srcId="{82EC7F58-8B1F-4312-9E12-046E69B3EC48}" destId="{42BF43EF-D155-43CC-8A49-C2DCDB22C8FB}" srcOrd="0" destOrd="0" presId="urn:microsoft.com/office/officeart/2005/8/layout/default"/>
    <dgm:cxn modelId="{2D9134FB-F00F-4E16-9CFB-CB642F0488C7}" type="presOf" srcId="{3A7216CB-246A-4FB6-BE1D-2265FBD62C00}" destId="{E1E7EFB7-3EDE-4C0E-A796-F666DE52720F}" srcOrd="0" destOrd="0" presId="urn:microsoft.com/office/officeart/2005/8/layout/default"/>
    <dgm:cxn modelId="{A2F2D4B5-ED39-4501-BB38-EB65FF2EFE72}" type="presOf" srcId="{902B011E-E942-46CA-8EA0-2C77A5EEAC5D}" destId="{A8982508-6FBA-485A-8C2D-3EFA4F1EA45A}" srcOrd="0" destOrd="0" presId="urn:microsoft.com/office/officeart/2005/8/layout/default"/>
    <dgm:cxn modelId="{051016DF-1863-487F-820C-6C1DF99ED896}" srcId="{38E4EE61-E946-449C-81EA-52F8EA97FA37}" destId="{D291389B-14AA-4157-8E9B-2BA1156E3353}" srcOrd="5" destOrd="0" parTransId="{834B3BDE-4362-454C-BF6F-02B111CFB7D2}" sibTransId="{377FD304-144E-4F01-A7F5-9B633F4F94CD}"/>
    <dgm:cxn modelId="{4A77A258-26E8-42BE-866C-9038EF3141C5}" type="presOf" srcId="{D291389B-14AA-4157-8E9B-2BA1156E3353}" destId="{42CC7165-321D-46BE-A52B-25E360FC6E9C}" srcOrd="0" destOrd="0" presId="urn:microsoft.com/office/officeart/2005/8/layout/default"/>
    <dgm:cxn modelId="{8CCD3664-073D-493E-9CA8-266A032B30F4}" srcId="{38E4EE61-E946-449C-81EA-52F8EA97FA37}" destId="{82EC7F58-8B1F-4312-9E12-046E69B3EC48}" srcOrd="4" destOrd="0" parTransId="{08B9D2E4-E2A1-416A-A03A-7E0F86080CCB}" sibTransId="{B1C0221F-4790-47AB-9A8F-287C3572C013}"/>
    <dgm:cxn modelId="{D09405D8-8FF1-4093-8E6C-917BC3A7E06A}" srcId="{38E4EE61-E946-449C-81EA-52F8EA97FA37}" destId="{D93BC538-F579-4F1D-89FA-41092C03844A}" srcOrd="1" destOrd="0" parTransId="{7AC996D4-93D1-4183-8CE4-77DC914F80F0}" sibTransId="{B7BF31CF-0111-4244-8664-2D1C3A3AD0C9}"/>
    <dgm:cxn modelId="{0AE93A47-E905-4F41-819A-C62C839DDC2E}" type="presParOf" srcId="{3F343583-E660-434D-B3DF-64C69B9D3358}" destId="{A8982508-6FBA-485A-8C2D-3EFA4F1EA45A}" srcOrd="0" destOrd="0" presId="urn:microsoft.com/office/officeart/2005/8/layout/default"/>
    <dgm:cxn modelId="{65C9FC28-10DE-4004-9F10-2CCF1B71925F}" type="presParOf" srcId="{3F343583-E660-434D-B3DF-64C69B9D3358}" destId="{1A206263-BB2E-407E-AA6E-FD8F01F360FC}" srcOrd="1" destOrd="0" presId="urn:microsoft.com/office/officeart/2005/8/layout/default"/>
    <dgm:cxn modelId="{FA636A7F-7919-452B-9728-3CAA35C4A0F9}" type="presParOf" srcId="{3F343583-E660-434D-B3DF-64C69B9D3358}" destId="{67425755-7272-4C3F-965F-F0F4385106A6}" srcOrd="2" destOrd="0" presId="urn:microsoft.com/office/officeart/2005/8/layout/default"/>
    <dgm:cxn modelId="{68A3ED0A-B4BC-4FE4-BDD6-562903E2D155}" type="presParOf" srcId="{3F343583-E660-434D-B3DF-64C69B9D3358}" destId="{72C2FF32-D576-4280-B016-62F4FC2DF4EE}" srcOrd="3" destOrd="0" presId="urn:microsoft.com/office/officeart/2005/8/layout/default"/>
    <dgm:cxn modelId="{A4150022-EF6B-47A2-AE9B-BF3D36735CA7}" type="presParOf" srcId="{3F343583-E660-434D-B3DF-64C69B9D3358}" destId="{E1E7EFB7-3EDE-4C0E-A796-F666DE52720F}" srcOrd="4" destOrd="0" presId="urn:microsoft.com/office/officeart/2005/8/layout/default"/>
    <dgm:cxn modelId="{1ED893D1-6679-4CBB-A4FA-0F5AB7355121}" type="presParOf" srcId="{3F343583-E660-434D-B3DF-64C69B9D3358}" destId="{F15A7A72-6527-4050-9036-698C715D2F46}" srcOrd="5" destOrd="0" presId="urn:microsoft.com/office/officeart/2005/8/layout/default"/>
    <dgm:cxn modelId="{32B7C721-F795-48CE-A1F2-0E6908045B34}" type="presParOf" srcId="{3F343583-E660-434D-B3DF-64C69B9D3358}" destId="{B86C4CF2-6060-4EAE-968F-C131FC8D6031}" srcOrd="6" destOrd="0" presId="urn:microsoft.com/office/officeart/2005/8/layout/default"/>
    <dgm:cxn modelId="{6589B8FF-E0D9-4D7C-9599-32344CEE4A4A}" type="presParOf" srcId="{3F343583-E660-434D-B3DF-64C69B9D3358}" destId="{C6231DFC-1D1B-46F6-B389-F4C06988E9D2}" srcOrd="7" destOrd="0" presId="urn:microsoft.com/office/officeart/2005/8/layout/default"/>
    <dgm:cxn modelId="{2A23D8F6-937A-43A1-8D36-BE6B15C48128}" type="presParOf" srcId="{3F343583-E660-434D-B3DF-64C69B9D3358}" destId="{42BF43EF-D155-43CC-8A49-C2DCDB22C8FB}" srcOrd="8" destOrd="0" presId="urn:microsoft.com/office/officeart/2005/8/layout/default"/>
    <dgm:cxn modelId="{B47DF724-7F51-40E9-B335-E0F8DFDC423E}" type="presParOf" srcId="{3F343583-E660-434D-B3DF-64C69B9D3358}" destId="{B0473F72-3824-4FF0-9367-0C4C201338CF}" srcOrd="9" destOrd="0" presId="urn:microsoft.com/office/officeart/2005/8/layout/default"/>
    <dgm:cxn modelId="{8FAFC55B-EEE6-4C04-8FDA-5FA7196E1C00}" type="presParOf" srcId="{3F343583-E660-434D-B3DF-64C69B9D3358}" destId="{42CC7165-321D-46BE-A52B-25E360FC6E9C}" srcOrd="10" destOrd="0" presId="urn:microsoft.com/office/officeart/2005/8/layout/defaul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8E4EE61-E946-449C-81EA-52F8EA97FA37}" type="doc">
      <dgm:prSet loTypeId="urn:microsoft.com/office/officeart/2005/8/layout/default" loCatId="list" qsTypeId="urn:microsoft.com/office/officeart/2005/8/quickstyle/simple1" qsCatId="simple" csTypeId="urn:microsoft.com/office/officeart/2005/8/colors/accent4_5" csCatId="accent4" phldr="1"/>
      <dgm:spPr/>
      <dgm:t>
        <a:bodyPr/>
        <a:lstStyle/>
        <a:p>
          <a:endParaRPr lang="pl-PL"/>
        </a:p>
      </dgm:t>
    </dgm:pt>
    <dgm:pt modelId="{902B011E-E942-46CA-8EA0-2C77A5EEAC5D}">
      <dgm:prSet phldrT="[Tekst]"/>
      <dgm:spPr/>
      <dgm:t>
        <a:bodyPr/>
        <a:lstStyle/>
        <a:p>
          <a:pPr algn="ctr">
            <a:buFont typeface="Wingdings" panose="05000000000000000000" pitchFamily="2" charset="2"/>
            <a:buNone/>
          </a:pPr>
          <a:r>
            <a:rPr lang="pl-PL"/>
            <a:t>Brak zintegrowania oferty turystycznej i kulturalnej</a:t>
          </a:r>
        </a:p>
      </dgm:t>
    </dgm:pt>
    <dgm:pt modelId="{40EEEAD4-2161-4617-847B-1BBE63E08C48}" type="parTrans" cxnId="{F13846AB-3656-4A5D-812E-6B1A2BCAFCBD}">
      <dgm:prSet/>
      <dgm:spPr/>
      <dgm:t>
        <a:bodyPr/>
        <a:lstStyle/>
        <a:p>
          <a:pPr algn="ctr"/>
          <a:endParaRPr lang="pl-PL"/>
        </a:p>
      </dgm:t>
    </dgm:pt>
    <dgm:pt modelId="{DA1A1E6A-7546-4AAA-A00D-30892FF147D5}" type="sibTrans" cxnId="{F13846AB-3656-4A5D-812E-6B1A2BCAFCBD}">
      <dgm:prSet/>
      <dgm:spPr/>
      <dgm:t>
        <a:bodyPr/>
        <a:lstStyle/>
        <a:p>
          <a:pPr algn="ctr"/>
          <a:endParaRPr lang="pl-PL"/>
        </a:p>
      </dgm:t>
    </dgm:pt>
    <dgm:pt modelId="{D93BC538-F579-4F1D-89FA-41092C03844A}">
      <dgm:prSet phldrT="[Tekst]"/>
      <dgm:spPr>
        <a:solidFill>
          <a:schemeClr val="bg1">
            <a:lumMod val="50000"/>
            <a:alpha val="82000"/>
          </a:schemeClr>
        </a:solidFill>
      </dgm:spPr>
      <dgm:t>
        <a:bodyPr/>
        <a:lstStyle/>
        <a:p>
          <a:pPr algn="ctr">
            <a:buFont typeface="Wingdings" panose="05000000000000000000" pitchFamily="2" charset="2"/>
            <a:buNone/>
          </a:pPr>
          <a:r>
            <a:rPr lang="pl-PL"/>
            <a:t>Postępujące zmiany demograficzne – starzenie się społeczeństwa, odpływ ludności („drenaż mózgów”)</a:t>
          </a:r>
        </a:p>
      </dgm:t>
    </dgm:pt>
    <dgm:pt modelId="{7AC996D4-93D1-4183-8CE4-77DC914F80F0}" type="parTrans" cxnId="{D09405D8-8FF1-4093-8E6C-917BC3A7E06A}">
      <dgm:prSet/>
      <dgm:spPr/>
      <dgm:t>
        <a:bodyPr/>
        <a:lstStyle/>
        <a:p>
          <a:pPr algn="ctr"/>
          <a:endParaRPr lang="pl-PL"/>
        </a:p>
      </dgm:t>
    </dgm:pt>
    <dgm:pt modelId="{B7BF31CF-0111-4244-8664-2D1C3A3AD0C9}" type="sibTrans" cxnId="{D09405D8-8FF1-4093-8E6C-917BC3A7E06A}">
      <dgm:prSet/>
      <dgm:spPr/>
      <dgm:t>
        <a:bodyPr/>
        <a:lstStyle/>
        <a:p>
          <a:pPr algn="ctr"/>
          <a:endParaRPr lang="pl-PL"/>
        </a:p>
      </dgm:t>
    </dgm:pt>
    <dgm:pt modelId="{3A7216CB-246A-4FB6-BE1D-2265FBD62C00}">
      <dgm:prSet phldrT="[Tekst]"/>
      <dgm:spPr>
        <a:solidFill>
          <a:schemeClr val="tx2">
            <a:lumMod val="75000"/>
            <a:alpha val="74000"/>
          </a:schemeClr>
        </a:solidFill>
      </dgm:spPr>
      <dgm:t>
        <a:bodyPr/>
        <a:lstStyle/>
        <a:p>
          <a:pPr algn="ctr">
            <a:buFont typeface="Wingdings" panose="05000000000000000000" pitchFamily="2" charset="2"/>
            <a:buNone/>
          </a:pPr>
          <a:r>
            <a:rPr lang="pl-PL"/>
            <a:t>Przewaga turystów weekendowych i wysoki udział odwiedzających jednodniowych w strukturze odwiedzających powiat olkuski</a:t>
          </a:r>
        </a:p>
      </dgm:t>
    </dgm:pt>
    <dgm:pt modelId="{EEA5A498-0B32-4D68-9F8D-281AD1D0F4F8}" type="parTrans" cxnId="{FD7AF4B5-5162-40BC-9C3E-C9797CF91666}">
      <dgm:prSet/>
      <dgm:spPr/>
      <dgm:t>
        <a:bodyPr/>
        <a:lstStyle/>
        <a:p>
          <a:pPr algn="ctr"/>
          <a:endParaRPr lang="pl-PL"/>
        </a:p>
      </dgm:t>
    </dgm:pt>
    <dgm:pt modelId="{32CE1BD2-2007-48C3-B312-4B71ECBFA3A3}" type="sibTrans" cxnId="{FD7AF4B5-5162-40BC-9C3E-C9797CF91666}">
      <dgm:prSet/>
      <dgm:spPr/>
      <dgm:t>
        <a:bodyPr/>
        <a:lstStyle/>
        <a:p>
          <a:pPr algn="ctr"/>
          <a:endParaRPr lang="pl-PL"/>
        </a:p>
      </dgm:t>
    </dgm:pt>
    <dgm:pt modelId="{0027417C-91A4-4938-AEB9-FCFED939E950}">
      <dgm:prSet phldrT="[Tekst]"/>
      <dgm:spPr>
        <a:solidFill>
          <a:schemeClr val="tx1">
            <a:lumMod val="85000"/>
            <a:lumOff val="15000"/>
            <a:alpha val="66000"/>
          </a:schemeClr>
        </a:solidFill>
      </dgm:spPr>
      <dgm:t>
        <a:bodyPr/>
        <a:lstStyle/>
        <a:p>
          <a:pPr algn="ctr">
            <a:buFont typeface="Wingdings" panose="05000000000000000000" pitchFamily="2" charset="2"/>
            <a:buNone/>
          </a:pPr>
          <a:r>
            <a:rPr lang="pl-PL"/>
            <a:t>Zły stan techniczny niektórych obiektów instytucji kultury</a:t>
          </a:r>
        </a:p>
      </dgm:t>
    </dgm:pt>
    <dgm:pt modelId="{2D618885-3560-4A04-8DB5-469139AD348D}" type="parTrans" cxnId="{26BECF06-9EA4-4044-963F-BB02E843B102}">
      <dgm:prSet/>
      <dgm:spPr/>
      <dgm:t>
        <a:bodyPr/>
        <a:lstStyle/>
        <a:p>
          <a:pPr algn="ctr"/>
          <a:endParaRPr lang="pl-PL"/>
        </a:p>
      </dgm:t>
    </dgm:pt>
    <dgm:pt modelId="{104E08D6-51CA-4754-B517-D417D55BAC1C}" type="sibTrans" cxnId="{26BECF06-9EA4-4044-963F-BB02E843B102}">
      <dgm:prSet/>
      <dgm:spPr/>
      <dgm:t>
        <a:bodyPr/>
        <a:lstStyle/>
        <a:p>
          <a:pPr algn="ctr"/>
          <a:endParaRPr lang="pl-PL"/>
        </a:p>
      </dgm:t>
    </dgm:pt>
    <dgm:pt modelId="{82EC7F58-8B1F-4312-9E12-046E69B3EC48}">
      <dgm:prSet phldrT="[Tekst]"/>
      <dgm:spPr>
        <a:solidFill>
          <a:schemeClr val="bg1">
            <a:lumMod val="50000"/>
            <a:alpha val="58000"/>
          </a:schemeClr>
        </a:solidFill>
      </dgm:spPr>
      <dgm:t>
        <a:bodyPr/>
        <a:lstStyle/>
        <a:p>
          <a:pPr algn="ctr">
            <a:buFont typeface="Wingdings" panose="05000000000000000000" pitchFamily="2" charset="2"/>
            <a:buNone/>
          </a:pPr>
          <a:r>
            <a:rPr lang="pl-PL"/>
            <a:t>Niedostatecznie rozwinięta infrastruktura rowerowa, brak zintegrowania szlaków i tras rowerowych</a:t>
          </a:r>
        </a:p>
      </dgm:t>
    </dgm:pt>
    <dgm:pt modelId="{08B9D2E4-E2A1-416A-A03A-7E0F86080CCB}" type="parTrans" cxnId="{8CCD3664-073D-493E-9CA8-266A032B30F4}">
      <dgm:prSet/>
      <dgm:spPr/>
      <dgm:t>
        <a:bodyPr/>
        <a:lstStyle/>
        <a:p>
          <a:pPr algn="ctr"/>
          <a:endParaRPr lang="pl-PL"/>
        </a:p>
      </dgm:t>
    </dgm:pt>
    <dgm:pt modelId="{B1C0221F-4790-47AB-9A8F-287C3572C013}" type="sibTrans" cxnId="{8CCD3664-073D-493E-9CA8-266A032B30F4}">
      <dgm:prSet/>
      <dgm:spPr/>
      <dgm:t>
        <a:bodyPr/>
        <a:lstStyle/>
        <a:p>
          <a:pPr algn="ctr"/>
          <a:endParaRPr lang="pl-PL"/>
        </a:p>
      </dgm:t>
    </dgm:pt>
    <dgm:pt modelId="{D291389B-14AA-4157-8E9B-2BA1156E3353}">
      <dgm:prSet phldrT="[Tekst]"/>
      <dgm:spPr/>
      <dgm:t>
        <a:bodyPr/>
        <a:lstStyle/>
        <a:p>
          <a:pPr>
            <a:buFont typeface="Wingdings" panose="05000000000000000000" pitchFamily="2" charset="2"/>
          </a:pPr>
          <a:r>
            <a:rPr lang="pl-PL"/>
            <a:t>Ograniczenia inwestycyjne wynikające z obecności obszarów chronionych</a:t>
          </a:r>
        </a:p>
      </dgm:t>
    </dgm:pt>
    <dgm:pt modelId="{834B3BDE-4362-454C-BF6F-02B111CFB7D2}" type="parTrans" cxnId="{051016DF-1863-487F-820C-6C1DF99ED896}">
      <dgm:prSet/>
      <dgm:spPr/>
      <dgm:t>
        <a:bodyPr/>
        <a:lstStyle/>
        <a:p>
          <a:endParaRPr lang="pl-PL"/>
        </a:p>
      </dgm:t>
    </dgm:pt>
    <dgm:pt modelId="{377FD304-144E-4F01-A7F5-9B633F4F94CD}" type="sibTrans" cxnId="{051016DF-1863-487F-820C-6C1DF99ED896}">
      <dgm:prSet/>
      <dgm:spPr/>
      <dgm:t>
        <a:bodyPr/>
        <a:lstStyle/>
        <a:p>
          <a:endParaRPr lang="pl-PL"/>
        </a:p>
      </dgm:t>
    </dgm:pt>
    <dgm:pt modelId="{3F343583-E660-434D-B3DF-64C69B9D3358}" type="pres">
      <dgm:prSet presAssocID="{38E4EE61-E946-449C-81EA-52F8EA97FA37}" presName="diagram" presStyleCnt="0">
        <dgm:presLayoutVars>
          <dgm:dir/>
          <dgm:resizeHandles val="exact"/>
        </dgm:presLayoutVars>
      </dgm:prSet>
      <dgm:spPr/>
      <dgm:t>
        <a:bodyPr/>
        <a:lstStyle/>
        <a:p>
          <a:endParaRPr lang="pl-PL"/>
        </a:p>
      </dgm:t>
    </dgm:pt>
    <dgm:pt modelId="{A8982508-6FBA-485A-8C2D-3EFA4F1EA45A}" type="pres">
      <dgm:prSet presAssocID="{902B011E-E942-46CA-8EA0-2C77A5EEAC5D}" presName="node" presStyleLbl="node1" presStyleIdx="0" presStyleCnt="6">
        <dgm:presLayoutVars>
          <dgm:bulletEnabled val="1"/>
        </dgm:presLayoutVars>
      </dgm:prSet>
      <dgm:spPr/>
      <dgm:t>
        <a:bodyPr/>
        <a:lstStyle/>
        <a:p>
          <a:endParaRPr lang="pl-PL"/>
        </a:p>
      </dgm:t>
    </dgm:pt>
    <dgm:pt modelId="{1A206263-BB2E-407E-AA6E-FD8F01F360FC}" type="pres">
      <dgm:prSet presAssocID="{DA1A1E6A-7546-4AAA-A00D-30892FF147D5}" presName="sibTrans" presStyleCnt="0"/>
      <dgm:spPr/>
      <dgm:t>
        <a:bodyPr/>
        <a:lstStyle/>
        <a:p>
          <a:endParaRPr lang="pl-PL"/>
        </a:p>
      </dgm:t>
    </dgm:pt>
    <dgm:pt modelId="{67425755-7272-4C3F-965F-F0F4385106A6}" type="pres">
      <dgm:prSet presAssocID="{D93BC538-F579-4F1D-89FA-41092C03844A}" presName="node" presStyleLbl="node1" presStyleIdx="1" presStyleCnt="6">
        <dgm:presLayoutVars>
          <dgm:bulletEnabled val="1"/>
        </dgm:presLayoutVars>
      </dgm:prSet>
      <dgm:spPr/>
      <dgm:t>
        <a:bodyPr/>
        <a:lstStyle/>
        <a:p>
          <a:endParaRPr lang="pl-PL"/>
        </a:p>
      </dgm:t>
    </dgm:pt>
    <dgm:pt modelId="{72C2FF32-D576-4280-B016-62F4FC2DF4EE}" type="pres">
      <dgm:prSet presAssocID="{B7BF31CF-0111-4244-8664-2D1C3A3AD0C9}" presName="sibTrans" presStyleCnt="0"/>
      <dgm:spPr/>
      <dgm:t>
        <a:bodyPr/>
        <a:lstStyle/>
        <a:p>
          <a:endParaRPr lang="pl-PL"/>
        </a:p>
      </dgm:t>
    </dgm:pt>
    <dgm:pt modelId="{E1E7EFB7-3EDE-4C0E-A796-F666DE52720F}" type="pres">
      <dgm:prSet presAssocID="{3A7216CB-246A-4FB6-BE1D-2265FBD62C00}" presName="node" presStyleLbl="node1" presStyleIdx="2" presStyleCnt="6">
        <dgm:presLayoutVars>
          <dgm:bulletEnabled val="1"/>
        </dgm:presLayoutVars>
      </dgm:prSet>
      <dgm:spPr/>
      <dgm:t>
        <a:bodyPr/>
        <a:lstStyle/>
        <a:p>
          <a:endParaRPr lang="pl-PL"/>
        </a:p>
      </dgm:t>
    </dgm:pt>
    <dgm:pt modelId="{F15A7A72-6527-4050-9036-698C715D2F46}" type="pres">
      <dgm:prSet presAssocID="{32CE1BD2-2007-48C3-B312-4B71ECBFA3A3}" presName="sibTrans" presStyleCnt="0"/>
      <dgm:spPr/>
      <dgm:t>
        <a:bodyPr/>
        <a:lstStyle/>
        <a:p>
          <a:endParaRPr lang="pl-PL"/>
        </a:p>
      </dgm:t>
    </dgm:pt>
    <dgm:pt modelId="{B86C4CF2-6060-4EAE-968F-C131FC8D6031}" type="pres">
      <dgm:prSet presAssocID="{0027417C-91A4-4938-AEB9-FCFED939E950}" presName="node" presStyleLbl="node1" presStyleIdx="3" presStyleCnt="6">
        <dgm:presLayoutVars>
          <dgm:bulletEnabled val="1"/>
        </dgm:presLayoutVars>
      </dgm:prSet>
      <dgm:spPr/>
      <dgm:t>
        <a:bodyPr/>
        <a:lstStyle/>
        <a:p>
          <a:endParaRPr lang="pl-PL"/>
        </a:p>
      </dgm:t>
    </dgm:pt>
    <dgm:pt modelId="{C6231DFC-1D1B-46F6-B389-F4C06988E9D2}" type="pres">
      <dgm:prSet presAssocID="{104E08D6-51CA-4754-B517-D417D55BAC1C}" presName="sibTrans" presStyleCnt="0"/>
      <dgm:spPr/>
      <dgm:t>
        <a:bodyPr/>
        <a:lstStyle/>
        <a:p>
          <a:endParaRPr lang="pl-PL"/>
        </a:p>
      </dgm:t>
    </dgm:pt>
    <dgm:pt modelId="{42BF43EF-D155-43CC-8A49-C2DCDB22C8FB}" type="pres">
      <dgm:prSet presAssocID="{82EC7F58-8B1F-4312-9E12-046E69B3EC48}" presName="node" presStyleLbl="node1" presStyleIdx="4" presStyleCnt="6">
        <dgm:presLayoutVars>
          <dgm:bulletEnabled val="1"/>
        </dgm:presLayoutVars>
      </dgm:prSet>
      <dgm:spPr/>
      <dgm:t>
        <a:bodyPr/>
        <a:lstStyle/>
        <a:p>
          <a:endParaRPr lang="pl-PL"/>
        </a:p>
      </dgm:t>
    </dgm:pt>
    <dgm:pt modelId="{B0473F72-3824-4FF0-9367-0C4C201338CF}" type="pres">
      <dgm:prSet presAssocID="{B1C0221F-4790-47AB-9A8F-287C3572C013}" presName="sibTrans" presStyleCnt="0"/>
      <dgm:spPr/>
      <dgm:t>
        <a:bodyPr/>
        <a:lstStyle/>
        <a:p>
          <a:endParaRPr lang="pl-PL"/>
        </a:p>
      </dgm:t>
    </dgm:pt>
    <dgm:pt modelId="{42CC7165-321D-46BE-A52B-25E360FC6E9C}" type="pres">
      <dgm:prSet presAssocID="{D291389B-14AA-4157-8E9B-2BA1156E3353}" presName="node" presStyleLbl="node1" presStyleIdx="5" presStyleCnt="6">
        <dgm:presLayoutVars>
          <dgm:bulletEnabled val="1"/>
        </dgm:presLayoutVars>
      </dgm:prSet>
      <dgm:spPr/>
      <dgm:t>
        <a:bodyPr/>
        <a:lstStyle/>
        <a:p>
          <a:endParaRPr lang="pl-PL"/>
        </a:p>
      </dgm:t>
    </dgm:pt>
  </dgm:ptLst>
  <dgm:cxnLst>
    <dgm:cxn modelId="{C5E54BFB-E1C4-4968-9C9F-E55A650F108A}" type="presOf" srcId="{3A7216CB-246A-4FB6-BE1D-2265FBD62C00}" destId="{E1E7EFB7-3EDE-4C0E-A796-F666DE52720F}" srcOrd="0" destOrd="0" presId="urn:microsoft.com/office/officeart/2005/8/layout/default"/>
    <dgm:cxn modelId="{F13846AB-3656-4A5D-812E-6B1A2BCAFCBD}" srcId="{38E4EE61-E946-449C-81EA-52F8EA97FA37}" destId="{902B011E-E942-46CA-8EA0-2C77A5EEAC5D}" srcOrd="0" destOrd="0" parTransId="{40EEEAD4-2161-4617-847B-1BBE63E08C48}" sibTransId="{DA1A1E6A-7546-4AAA-A00D-30892FF147D5}"/>
    <dgm:cxn modelId="{26BECF06-9EA4-4044-963F-BB02E843B102}" srcId="{38E4EE61-E946-449C-81EA-52F8EA97FA37}" destId="{0027417C-91A4-4938-AEB9-FCFED939E950}" srcOrd="3" destOrd="0" parTransId="{2D618885-3560-4A04-8DB5-469139AD348D}" sibTransId="{104E08D6-51CA-4754-B517-D417D55BAC1C}"/>
    <dgm:cxn modelId="{FD7AF4B5-5162-40BC-9C3E-C9797CF91666}" srcId="{38E4EE61-E946-449C-81EA-52F8EA97FA37}" destId="{3A7216CB-246A-4FB6-BE1D-2265FBD62C00}" srcOrd="2" destOrd="0" parTransId="{EEA5A498-0B32-4D68-9F8D-281AD1D0F4F8}" sibTransId="{32CE1BD2-2007-48C3-B312-4B71ECBFA3A3}"/>
    <dgm:cxn modelId="{F125561C-9CBB-432B-90AF-1413CB1D298D}" type="presOf" srcId="{D291389B-14AA-4157-8E9B-2BA1156E3353}" destId="{42CC7165-321D-46BE-A52B-25E360FC6E9C}" srcOrd="0" destOrd="0" presId="urn:microsoft.com/office/officeart/2005/8/layout/default"/>
    <dgm:cxn modelId="{43F9370A-1EDE-4F43-9AA9-4093F6DC16E5}" type="presOf" srcId="{38E4EE61-E946-449C-81EA-52F8EA97FA37}" destId="{3F343583-E660-434D-B3DF-64C69B9D3358}" srcOrd="0" destOrd="0" presId="urn:microsoft.com/office/officeart/2005/8/layout/default"/>
    <dgm:cxn modelId="{EB6AF87A-80D6-40D8-989E-37295DF47742}" type="presOf" srcId="{902B011E-E942-46CA-8EA0-2C77A5EEAC5D}" destId="{A8982508-6FBA-485A-8C2D-3EFA4F1EA45A}" srcOrd="0" destOrd="0" presId="urn:microsoft.com/office/officeart/2005/8/layout/default"/>
    <dgm:cxn modelId="{08A0B6F2-119D-4358-8F70-AA314F4CA1DE}" type="presOf" srcId="{82EC7F58-8B1F-4312-9E12-046E69B3EC48}" destId="{42BF43EF-D155-43CC-8A49-C2DCDB22C8FB}" srcOrd="0" destOrd="0" presId="urn:microsoft.com/office/officeart/2005/8/layout/default"/>
    <dgm:cxn modelId="{623B2ABC-92E6-40D1-A55D-71007FDCBEB8}" type="presOf" srcId="{D93BC538-F579-4F1D-89FA-41092C03844A}" destId="{67425755-7272-4C3F-965F-F0F4385106A6}" srcOrd="0" destOrd="0" presId="urn:microsoft.com/office/officeart/2005/8/layout/default"/>
    <dgm:cxn modelId="{75B03E2A-1573-4483-9C94-007FBB7D3FA7}" type="presOf" srcId="{0027417C-91A4-4938-AEB9-FCFED939E950}" destId="{B86C4CF2-6060-4EAE-968F-C131FC8D6031}" srcOrd="0" destOrd="0" presId="urn:microsoft.com/office/officeart/2005/8/layout/default"/>
    <dgm:cxn modelId="{051016DF-1863-487F-820C-6C1DF99ED896}" srcId="{38E4EE61-E946-449C-81EA-52F8EA97FA37}" destId="{D291389B-14AA-4157-8E9B-2BA1156E3353}" srcOrd="5" destOrd="0" parTransId="{834B3BDE-4362-454C-BF6F-02B111CFB7D2}" sibTransId="{377FD304-144E-4F01-A7F5-9B633F4F94CD}"/>
    <dgm:cxn modelId="{8CCD3664-073D-493E-9CA8-266A032B30F4}" srcId="{38E4EE61-E946-449C-81EA-52F8EA97FA37}" destId="{82EC7F58-8B1F-4312-9E12-046E69B3EC48}" srcOrd="4" destOrd="0" parTransId="{08B9D2E4-E2A1-416A-A03A-7E0F86080CCB}" sibTransId="{B1C0221F-4790-47AB-9A8F-287C3572C013}"/>
    <dgm:cxn modelId="{D09405D8-8FF1-4093-8E6C-917BC3A7E06A}" srcId="{38E4EE61-E946-449C-81EA-52F8EA97FA37}" destId="{D93BC538-F579-4F1D-89FA-41092C03844A}" srcOrd="1" destOrd="0" parTransId="{7AC996D4-93D1-4183-8CE4-77DC914F80F0}" sibTransId="{B7BF31CF-0111-4244-8664-2D1C3A3AD0C9}"/>
    <dgm:cxn modelId="{02405FD8-E133-4511-BB4A-F2F508046A5C}" type="presParOf" srcId="{3F343583-E660-434D-B3DF-64C69B9D3358}" destId="{A8982508-6FBA-485A-8C2D-3EFA4F1EA45A}" srcOrd="0" destOrd="0" presId="urn:microsoft.com/office/officeart/2005/8/layout/default"/>
    <dgm:cxn modelId="{EC8D5A0B-0D25-49D7-BE4C-E595E178E1EE}" type="presParOf" srcId="{3F343583-E660-434D-B3DF-64C69B9D3358}" destId="{1A206263-BB2E-407E-AA6E-FD8F01F360FC}" srcOrd="1" destOrd="0" presId="urn:microsoft.com/office/officeart/2005/8/layout/default"/>
    <dgm:cxn modelId="{C4CA457F-511E-4CB1-A3CC-E8748F195B21}" type="presParOf" srcId="{3F343583-E660-434D-B3DF-64C69B9D3358}" destId="{67425755-7272-4C3F-965F-F0F4385106A6}" srcOrd="2" destOrd="0" presId="urn:microsoft.com/office/officeart/2005/8/layout/default"/>
    <dgm:cxn modelId="{F8FA61BF-52A6-480B-AA23-F75A069F9614}" type="presParOf" srcId="{3F343583-E660-434D-B3DF-64C69B9D3358}" destId="{72C2FF32-D576-4280-B016-62F4FC2DF4EE}" srcOrd="3" destOrd="0" presId="urn:microsoft.com/office/officeart/2005/8/layout/default"/>
    <dgm:cxn modelId="{8BA2083A-A6AC-4637-A5C2-CDC98C440035}" type="presParOf" srcId="{3F343583-E660-434D-B3DF-64C69B9D3358}" destId="{E1E7EFB7-3EDE-4C0E-A796-F666DE52720F}" srcOrd="4" destOrd="0" presId="urn:microsoft.com/office/officeart/2005/8/layout/default"/>
    <dgm:cxn modelId="{5F758E2A-A0EC-4030-99D5-758B1727F9FB}" type="presParOf" srcId="{3F343583-E660-434D-B3DF-64C69B9D3358}" destId="{F15A7A72-6527-4050-9036-698C715D2F46}" srcOrd="5" destOrd="0" presId="urn:microsoft.com/office/officeart/2005/8/layout/default"/>
    <dgm:cxn modelId="{814FC99F-C721-4078-B52F-ADA6453628EA}" type="presParOf" srcId="{3F343583-E660-434D-B3DF-64C69B9D3358}" destId="{B86C4CF2-6060-4EAE-968F-C131FC8D6031}" srcOrd="6" destOrd="0" presId="urn:microsoft.com/office/officeart/2005/8/layout/default"/>
    <dgm:cxn modelId="{C58E81DF-4401-4F39-9C2D-6B4D9DD86537}" type="presParOf" srcId="{3F343583-E660-434D-B3DF-64C69B9D3358}" destId="{C6231DFC-1D1B-46F6-B389-F4C06988E9D2}" srcOrd="7" destOrd="0" presId="urn:microsoft.com/office/officeart/2005/8/layout/default"/>
    <dgm:cxn modelId="{0EC29B2C-71D6-4485-804A-4D2972D71C9C}" type="presParOf" srcId="{3F343583-E660-434D-B3DF-64C69B9D3358}" destId="{42BF43EF-D155-43CC-8A49-C2DCDB22C8FB}" srcOrd="8" destOrd="0" presId="urn:microsoft.com/office/officeart/2005/8/layout/default"/>
    <dgm:cxn modelId="{FBE8D448-CC31-406A-BF99-2352AC1FBEB3}" type="presParOf" srcId="{3F343583-E660-434D-B3DF-64C69B9D3358}" destId="{B0473F72-3824-4FF0-9367-0C4C201338CF}" srcOrd="9" destOrd="0" presId="urn:microsoft.com/office/officeart/2005/8/layout/default"/>
    <dgm:cxn modelId="{6719CBD1-1BF2-48AC-8AE4-839C776E775F}" type="presParOf" srcId="{3F343583-E660-434D-B3DF-64C69B9D3358}" destId="{42CC7165-321D-46BE-A52B-25E360FC6E9C}" srcOrd="10" destOrd="0" presId="urn:microsoft.com/office/officeart/2005/8/layout/default"/>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982508-6FBA-485A-8C2D-3EFA4F1EA45A}">
      <dsp:nvSpPr>
        <dsp:cNvPr id="0" name=""/>
        <dsp:cNvSpPr/>
      </dsp:nvSpPr>
      <dsp:spPr>
        <a:xfrm>
          <a:off x="0" y="66606"/>
          <a:ext cx="1800225" cy="1080135"/>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buFont typeface="Wingdings" panose="05000000000000000000" pitchFamily="2" charset="2"/>
            <a:buNone/>
          </a:pPr>
          <a:r>
            <a:rPr lang="pl-PL" sz="1300" kern="1200"/>
            <a:t>Atrakcyjne położenie i walory przyrodniczo-krajobrazowe Jury Krakowsko-Częstochowskiej</a:t>
          </a:r>
        </a:p>
      </dsp:txBody>
      <dsp:txXfrm>
        <a:off x="0" y="66606"/>
        <a:ext cx="1800225" cy="1080135"/>
      </dsp:txXfrm>
    </dsp:sp>
    <dsp:sp modelId="{67425755-7272-4C3F-965F-F0F4385106A6}">
      <dsp:nvSpPr>
        <dsp:cNvPr id="0" name=""/>
        <dsp:cNvSpPr/>
      </dsp:nvSpPr>
      <dsp:spPr>
        <a:xfrm>
          <a:off x="1980247" y="66606"/>
          <a:ext cx="1800225" cy="1080135"/>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buFont typeface="Wingdings" panose="05000000000000000000" pitchFamily="2" charset="2"/>
            <a:buNone/>
          </a:pPr>
          <a:r>
            <a:rPr lang="pl-PL" sz="1300" kern="1200"/>
            <a:t>Bogate niematerialne dziedzictwo historyczno-kulturowe: tradycje górnicze</a:t>
          </a:r>
        </a:p>
      </dsp:txBody>
      <dsp:txXfrm>
        <a:off x="1980247" y="66606"/>
        <a:ext cx="1800225" cy="1080135"/>
      </dsp:txXfrm>
    </dsp:sp>
    <dsp:sp modelId="{E1E7EFB7-3EDE-4C0E-A796-F666DE52720F}">
      <dsp:nvSpPr>
        <dsp:cNvPr id="0" name=""/>
        <dsp:cNvSpPr/>
      </dsp:nvSpPr>
      <dsp:spPr>
        <a:xfrm>
          <a:off x="3960495" y="66606"/>
          <a:ext cx="1800225" cy="1080135"/>
        </a:xfrm>
        <a:prstGeom prst="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buFont typeface="Wingdings" panose="05000000000000000000" pitchFamily="2" charset="2"/>
            <a:buNone/>
          </a:pPr>
          <a:r>
            <a:rPr lang="pl-PL" sz="1300" kern="1200"/>
            <a:t>Bogate zasoby materialnego dziedzictwa historyczno-kulturowego: zabytki, obiekty pogórnicze  </a:t>
          </a:r>
        </a:p>
      </dsp:txBody>
      <dsp:txXfrm>
        <a:off x="3960495" y="66606"/>
        <a:ext cx="1800225" cy="1080135"/>
      </dsp:txXfrm>
    </dsp:sp>
    <dsp:sp modelId="{B86C4CF2-6060-4EAE-968F-C131FC8D6031}">
      <dsp:nvSpPr>
        <dsp:cNvPr id="0" name=""/>
        <dsp:cNvSpPr/>
      </dsp:nvSpPr>
      <dsp:spPr>
        <a:xfrm>
          <a:off x="0" y="1326763"/>
          <a:ext cx="1800225" cy="1080135"/>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buFont typeface="Wingdings" panose="05000000000000000000" pitchFamily="2" charset="2"/>
            <a:buNone/>
          </a:pPr>
          <a:r>
            <a:rPr lang="pl-PL" sz="1300" kern="1200"/>
            <a:t>Dogodna lokalizacja między Górnośląsko-Zagłębiowską Metropolią a Aglomeracją Krakowską</a:t>
          </a:r>
        </a:p>
      </dsp:txBody>
      <dsp:txXfrm>
        <a:off x="0" y="1326763"/>
        <a:ext cx="1800225" cy="1080135"/>
      </dsp:txXfrm>
    </dsp:sp>
    <dsp:sp modelId="{42BF43EF-D155-43CC-8A49-C2DCDB22C8FB}">
      <dsp:nvSpPr>
        <dsp:cNvPr id="0" name=""/>
        <dsp:cNvSpPr/>
      </dsp:nvSpPr>
      <dsp:spPr>
        <a:xfrm>
          <a:off x="1980247" y="1326763"/>
          <a:ext cx="1800225" cy="1080135"/>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buFont typeface="Wingdings" panose="05000000000000000000" pitchFamily="2" charset="2"/>
            <a:buNone/>
          </a:pPr>
          <a:r>
            <a:rPr lang="pl-PL" sz="1300" kern="1200"/>
            <a:t>Wysokie natężenie ruchu turystycznego w powiecie olkuskim</a:t>
          </a:r>
        </a:p>
      </dsp:txBody>
      <dsp:txXfrm>
        <a:off x="1980247" y="1326763"/>
        <a:ext cx="1800225" cy="1080135"/>
      </dsp:txXfrm>
    </dsp:sp>
    <dsp:sp modelId="{42CC7165-321D-46BE-A52B-25E360FC6E9C}">
      <dsp:nvSpPr>
        <dsp:cNvPr id="0" name=""/>
        <dsp:cNvSpPr/>
      </dsp:nvSpPr>
      <dsp:spPr>
        <a:xfrm>
          <a:off x="3960495" y="1326763"/>
          <a:ext cx="1800225" cy="1080135"/>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buFont typeface="Wingdings" panose="05000000000000000000" pitchFamily="2" charset="2"/>
          </a:pPr>
          <a:r>
            <a:rPr lang="pl-PL" sz="1300" kern="1200"/>
            <a:t>Baza infrastruktury turystycznej, sportowo-rekreacyjnej</a:t>
          </a:r>
        </a:p>
      </dsp:txBody>
      <dsp:txXfrm>
        <a:off x="3960495" y="1326763"/>
        <a:ext cx="1800225" cy="108013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982508-6FBA-485A-8C2D-3EFA4F1EA45A}">
      <dsp:nvSpPr>
        <dsp:cNvPr id="0" name=""/>
        <dsp:cNvSpPr/>
      </dsp:nvSpPr>
      <dsp:spPr>
        <a:xfrm>
          <a:off x="0" y="66516"/>
          <a:ext cx="1800225" cy="1080135"/>
        </a:xfrm>
        <a:prstGeom prst="rect">
          <a:avLst/>
        </a:prstGeom>
        <a:solidFill>
          <a:schemeClr val="accent4">
            <a:alpha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Font typeface="Wingdings" panose="05000000000000000000" pitchFamily="2" charset="2"/>
            <a:buNone/>
          </a:pPr>
          <a:r>
            <a:rPr lang="pl-PL" sz="1100" kern="1200"/>
            <a:t>Brak zintegrowania oferty turystycznej i kulturalnej</a:t>
          </a:r>
        </a:p>
      </dsp:txBody>
      <dsp:txXfrm>
        <a:off x="0" y="66516"/>
        <a:ext cx="1800225" cy="1080135"/>
      </dsp:txXfrm>
    </dsp:sp>
    <dsp:sp modelId="{67425755-7272-4C3F-965F-F0F4385106A6}">
      <dsp:nvSpPr>
        <dsp:cNvPr id="0" name=""/>
        <dsp:cNvSpPr/>
      </dsp:nvSpPr>
      <dsp:spPr>
        <a:xfrm>
          <a:off x="1980247" y="66516"/>
          <a:ext cx="1800225" cy="1080135"/>
        </a:xfrm>
        <a:prstGeom prst="rect">
          <a:avLst/>
        </a:prstGeom>
        <a:solidFill>
          <a:schemeClr val="bg1">
            <a:lumMod val="50000"/>
            <a:alpha val="82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Font typeface="Wingdings" panose="05000000000000000000" pitchFamily="2" charset="2"/>
            <a:buNone/>
          </a:pPr>
          <a:r>
            <a:rPr lang="pl-PL" sz="1100" kern="1200"/>
            <a:t>Postępujące zmiany demograficzne – starzenie się społeczeństwa, odpływ ludności („drenaż mózgów”)</a:t>
          </a:r>
        </a:p>
      </dsp:txBody>
      <dsp:txXfrm>
        <a:off x="1980247" y="66516"/>
        <a:ext cx="1800225" cy="1080135"/>
      </dsp:txXfrm>
    </dsp:sp>
    <dsp:sp modelId="{E1E7EFB7-3EDE-4C0E-A796-F666DE52720F}">
      <dsp:nvSpPr>
        <dsp:cNvPr id="0" name=""/>
        <dsp:cNvSpPr/>
      </dsp:nvSpPr>
      <dsp:spPr>
        <a:xfrm>
          <a:off x="3960495" y="66516"/>
          <a:ext cx="1800225" cy="1080135"/>
        </a:xfrm>
        <a:prstGeom prst="rect">
          <a:avLst/>
        </a:prstGeom>
        <a:solidFill>
          <a:schemeClr val="tx2">
            <a:lumMod val="75000"/>
            <a:alpha val="74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Font typeface="Wingdings" panose="05000000000000000000" pitchFamily="2" charset="2"/>
            <a:buNone/>
          </a:pPr>
          <a:r>
            <a:rPr lang="pl-PL" sz="1100" kern="1200"/>
            <a:t>Przewaga turystów weekendowych i wysoki udział odwiedzających jednodniowych w strukturze odwiedzających powiat olkuski</a:t>
          </a:r>
        </a:p>
      </dsp:txBody>
      <dsp:txXfrm>
        <a:off x="3960495" y="66516"/>
        <a:ext cx="1800225" cy="1080135"/>
      </dsp:txXfrm>
    </dsp:sp>
    <dsp:sp modelId="{B86C4CF2-6060-4EAE-968F-C131FC8D6031}">
      <dsp:nvSpPr>
        <dsp:cNvPr id="0" name=""/>
        <dsp:cNvSpPr/>
      </dsp:nvSpPr>
      <dsp:spPr>
        <a:xfrm>
          <a:off x="0" y="1326673"/>
          <a:ext cx="1800225" cy="1080135"/>
        </a:xfrm>
        <a:prstGeom prst="rect">
          <a:avLst/>
        </a:prstGeom>
        <a:solidFill>
          <a:schemeClr val="tx1">
            <a:lumMod val="85000"/>
            <a:lumOff val="15000"/>
            <a:alpha val="66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Font typeface="Wingdings" panose="05000000000000000000" pitchFamily="2" charset="2"/>
            <a:buNone/>
          </a:pPr>
          <a:r>
            <a:rPr lang="pl-PL" sz="1100" kern="1200"/>
            <a:t>Zły stan techniczny niektórych obiektów instytucji kultury</a:t>
          </a:r>
        </a:p>
      </dsp:txBody>
      <dsp:txXfrm>
        <a:off x="0" y="1326673"/>
        <a:ext cx="1800225" cy="1080135"/>
      </dsp:txXfrm>
    </dsp:sp>
    <dsp:sp modelId="{42BF43EF-D155-43CC-8A49-C2DCDB22C8FB}">
      <dsp:nvSpPr>
        <dsp:cNvPr id="0" name=""/>
        <dsp:cNvSpPr/>
      </dsp:nvSpPr>
      <dsp:spPr>
        <a:xfrm>
          <a:off x="1980247" y="1326673"/>
          <a:ext cx="1800225" cy="1080135"/>
        </a:xfrm>
        <a:prstGeom prst="rect">
          <a:avLst/>
        </a:prstGeom>
        <a:solidFill>
          <a:schemeClr val="bg1">
            <a:lumMod val="50000"/>
            <a:alpha val="58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Font typeface="Wingdings" panose="05000000000000000000" pitchFamily="2" charset="2"/>
            <a:buNone/>
          </a:pPr>
          <a:r>
            <a:rPr lang="pl-PL" sz="1100" kern="1200"/>
            <a:t>Niedostatecznie rozwinięta infrastruktura rowerowa, brak zintegrowania szlaków i tras rowerowych</a:t>
          </a:r>
        </a:p>
      </dsp:txBody>
      <dsp:txXfrm>
        <a:off x="1980247" y="1326673"/>
        <a:ext cx="1800225" cy="1080135"/>
      </dsp:txXfrm>
    </dsp:sp>
    <dsp:sp modelId="{42CC7165-321D-46BE-A52B-25E360FC6E9C}">
      <dsp:nvSpPr>
        <dsp:cNvPr id="0" name=""/>
        <dsp:cNvSpPr/>
      </dsp:nvSpPr>
      <dsp:spPr>
        <a:xfrm>
          <a:off x="3960495" y="1326673"/>
          <a:ext cx="1800225" cy="1080135"/>
        </a:xfrm>
        <a:prstGeom prst="rect">
          <a:avLst/>
        </a:prstGeom>
        <a:solidFill>
          <a:schemeClr val="accent4">
            <a:alpha val="90000"/>
            <a:hueOff val="0"/>
            <a:satOff val="0"/>
            <a:lumOff val="0"/>
            <a:alpha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Font typeface="Wingdings" panose="05000000000000000000" pitchFamily="2" charset="2"/>
          </a:pPr>
          <a:r>
            <a:rPr lang="pl-PL" sz="1100" kern="1200"/>
            <a:t>Ograniczenia inwestycyjne wynikające z obecności obszarów chronionych</a:t>
          </a:r>
        </a:p>
      </dsp:txBody>
      <dsp:txXfrm>
        <a:off x="3960495" y="1326673"/>
        <a:ext cx="1800225" cy="1080135"/>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Niebieskozielony">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CC351-928B-4453-867F-89C326E21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48</Pages>
  <Words>15290</Words>
  <Characters>91745</Characters>
  <Application>Microsoft Office Word</Application>
  <DocSecurity>0</DocSecurity>
  <Lines>764</Lines>
  <Paragraphs>213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Delta Partner</dc:creator>
  <cp:keywords/>
  <dc:description/>
  <cp:lastModifiedBy>Delta Partner</cp:lastModifiedBy>
  <cp:revision>78</cp:revision>
  <cp:lastPrinted>2024-11-05T08:32:00Z</cp:lastPrinted>
  <dcterms:created xsi:type="dcterms:W3CDTF">2024-11-04T12:11:00Z</dcterms:created>
  <dcterms:modified xsi:type="dcterms:W3CDTF">2024-11-07T11:50:00Z</dcterms:modified>
</cp:coreProperties>
</file>